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701EAAE"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10</w:t>
      </w:r>
      <w:r w:rsidRPr="00CE0424">
        <w:tab/>
      </w:r>
      <w:r w:rsidRPr="00CE0424">
        <w:rPr>
          <w:sz w:val="32"/>
          <w:szCs w:val="32"/>
        </w:rPr>
        <w:t xml:space="preserve">Tdoc </w:t>
      </w:r>
      <w:r w:rsidR="00543D1F" w:rsidRPr="00543D1F">
        <w:rPr>
          <w:sz w:val="32"/>
          <w:szCs w:val="32"/>
        </w:rPr>
        <w:t>R1-22</w:t>
      </w:r>
      <w:r w:rsidR="00995C36">
        <w:rPr>
          <w:sz w:val="32"/>
          <w:szCs w:val="32"/>
        </w:rPr>
        <w:t>0</w:t>
      </w:r>
      <w:r w:rsidR="00886A06" w:rsidRPr="00886A06">
        <w:rPr>
          <w:sz w:val="32"/>
          <w:szCs w:val="32"/>
        </w:rPr>
        <w:t>7116</w:t>
      </w:r>
    </w:p>
    <w:p w14:paraId="3086AC07" w14:textId="360CDF68" w:rsidR="00E90E49" w:rsidRPr="006F2D81" w:rsidRDefault="002471A2" w:rsidP="000E0F2D">
      <w:pPr>
        <w:pStyle w:val="3GPPHeader"/>
        <w:rPr>
          <w:lang w:val="en-GB"/>
        </w:rPr>
      </w:pPr>
      <w:bookmarkStart w:id="0" w:name="_Hlk95477661"/>
      <w:r w:rsidRPr="002471A2">
        <w:t>Toulouse, France, August 22</w:t>
      </w:r>
      <w:r w:rsidRPr="002471A2">
        <w:rPr>
          <w:vertAlign w:val="superscript"/>
        </w:rPr>
        <w:t>nd</w:t>
      </w:r>
      <w:r>
        <w:t xml:space="preserve"> </w:t>
      </w:r>
      <w:r w:rsidRPr="002471A2">
        <w:t>– 26</w:t>
      </w:r>
      <w:r w:rsidRPr="002471A2">
        <w:rPr>
          <w:vertAlign w:val="superscript"/>
        </w:rPr>
        <w:t>th</w:t>
      </w:r>
      <w:r w:rsidRPr="002471A2">
        <w:t>, 2022</w:t>
      </w:r>
      <w:r>
        <w:t xml:space="preserve"> </w:t>
      </w:r>
    </w:p>
    <w:bookmarkEnd w:id="0"/>
    <w:p w14:paraId="3982483C" w14:textId="5FDB0AA5" w:rsidR="00E90E49" w:rsidRPr="000D19DE" w:rsidRDefault="00E90E49" w:rsidP="000E0F2D">
      <w:pPr>
        <w:pStyle w:val="3GPPHeader"/>
      </w:pPr>
      <w:r w:rsidRPr="000D19DE">
        <w:t>Agenda Item:</w:t>
      </w:r>
      <w:r w:rsidRPr="000D19DE">
        <w:tab/>
      </w:r>
      <w:r w:rsidR="00995C36">
        <w:t>8.1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02C7EF84" w:rsidR="00E90E49" w:rsidRPr="00AE5153" w:rsidRDefault="003D3C45" w:rsidP="000E0F2D">
      <w:pPr>
        <w:pStyle w:val="3GPPHeader"/>
        <w:rPr>
          <w:lang w:val="en-GB"/>
        </w:rPr>
      </w:pPr>
      <w:r>
        <w:t>Title:</w:t>
      </w:r>
      <w:r w:rsidR="00E90E49" w:rsidRPr="00CE0424">
        <w:tab/>
      </w:r>
      <w:r w:rsidR="00995C36">
        <w:t>Discussion of the reference CC functionality</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660A01F8" w14:textId="0644B552" w:rsidR="00995C36" w:rsidRDefault="00995C36" w:rsidP="000E0F2D">
      <w:pPr>
        <w:pStyle w:val="BodyText"/>
      </w:pPr>
      <w:r>
        <w:t xml:space="preserve">TCI states are a central part of the NR system. In Rel-15 and Rel-16, the TCI states are configured in </w:t>
      </w:r>
      <w:r w:rsidR="00F91980">
        <w:t xml:space="preserve">PDSCH-Config (and hence in </w:t>
      </w:r>
      <w:r>
        <w:t>each serving cell and bandwidth part</w:t>
      </w:r>
      <w:r w:rsidR="00F91980">
        <w:t>)</w:t>
      </w:r>
      <w:r>
        <w:t>. In some cases, this may lead to a large RRC configuration overhead.</w:t>
      </w:r>
    </w:p>
    <w:p w14:paraId="275E20CD" w14:textId="032BC6B5" w:rsidR="009E7184" w:rsidRDefault="00995C36" w:rsidP="000E0F2D">
      <w:pPr>
        <w:pStyle w:val="BodyText"/>
      </w:pPr>
      <w:r>
        <w:t xml:space="preserve">In Rel-17, an improvement was introduced </w:t>
      </w:r>
      <w:r w:rsidR="00F91980">
        <w:t>where the list of TCI states can be omitted from a PDSCH-Config and replaced by a pointer to a reference serving cell and reference BWP.</w:t>
      </w:r>
    </w:p>
    <w:p w14:paraId="4172D2FD" w14:textId="78AEEB81" w:rsidR="00F91980" w:rsidRDefault="00F91980" w:rsidP="000E0F2D">
      <w:pPr>
        <w:pStyle w:val="BodyText"/>
      </w:pPr>
      <w:r>
        <w:t>However, there is still some unclarities on how to use this functionality. In this paper, we motivate the required changes in 38.214, and also propose to send an LS to RAN2 to update one field description in 38.331.</w:t>
      </w:r>
    </w:p>
    <w:p w14:paraId="7712D04D" w14:textId="0403EE13" w:rsidR="005E5D3C" w:rsidRDefault="00230D18" w:rsidP="00E62E8D">
      <w:pPr>
        <w:pStyle w:val="Heading1"/>
      </w:pPr>
      <w:bookmarkStart w:id="1" w:name="_Ref178064866"/>
      <w:r>
        <w:t>2</w:t>
      </w:r>
      <w:r>
        <w:tab/>
      </w:r>
      <w:r w:rsidR="004000E8" w:rsidRPr="00CE0424">
        <w:t>Discussion</w:t>
      </w:r>
      <w:bookmarkEnd w:id="1"/>
    </w:p>
    <w:p w14:paraId="49828E42" w14:textId="220E0D33" w:rsidR="00016B4D" w:rsidRDefault="00016B4D" w:rsidP="00016B4D">
      <w:pPr>
        <w:pStyle w:val="Heading2"/>
      </w:pPr>
      <w:r>
        <w:t>2.1</w:t>
      </w:r>
      <w:r>
        <w:tab/>
      </w:r>
      <w:r w:rsidR="00F91980">
        <w:t xml:space="preserve">Motivation of the change in 38.213 </w:t>
      </w:r>
    </w:p>
    <w:p w14:paraId="4866CAE9" w14:textId="60EA2549" w:rsidR="00F91980" w:rsidRDefault="00F91980" w:rsidP="00DF53FB">
      <w:pPr>
        <w:pStyle w:val="BodyText"/>
      </w:pPr>
      <w:r>
        <w:t>Currently, the following text exists in 38.214, clause 5.1.5:</w:t>
      </w:r>
    </w:p>
    <w:p w14:paraId="11A54122" w14:textId="3E7EE92E" w:rsidR="00F91980" w:rsidRDefault="00F91980" w:rsidP="00DF53FB">
      <w:pPr>
        <w:pStyle w:val="BodyText"/>
      </w:pPr>
      <w:r>
        <w:rPr>
          <w:noProof/>
        </w:rPr>
        <mc:AlternateContent>
          <mc:Choice Requires="wps">
            <w:drawing>
              <wp:inline distT="0" distB="0" distL="0" distR="0" wp14:anchorId="25C45F35" wp14:editId="0B38EBDC">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20ED7EF" w14:textId="7B918011" w:rsidR="00F91980" w:rsidRDefault="00F91980">
                            <w:r>
                              <w:t>Excerpt from 38.214:</w:t>
                            </w:r>
                          </w:p>
                          <w:p w14:paraId="17EB1991" w14:textId="7F0CF1F0" w:rsidR="00F91980" w:rsidRDefault="00F91980">
                            <w:r>
                              <w:t xml:space="preserve">When the </w:t>
                            </w:r>
                            <w:r w:rsidRPr="0080696C">
                              <w:rPr>
                                <w:i/>
                                <w:iCs/>
                              </w:rPr>
                              <w:t>bwp-id</w:t>
                            </w:r>
                            <w:r>
                              <w:t xml:space="preserve"> or </w:t>
                            </w:r>
                            <w:r w:rsidRPr="0080696C">
                              <w:rPr>
                                <w:i/>
                                <w:iCs/>
                              </w:rPr>
                              <w:t>cell</w:t>
                            </w:r>
                            <w:r>
                              <w:t xml:space="preserve"> for QCL-TypeA/D source RS in a QCL-Info of the TCI state configured with </w:t>
                            </w:r>
                            <w:r>
                              <w:rPr>
                                <w:i/>
                                <w:iCs/>
                                <w:color w:val="000000" w:themeColor="text1"/>
                              </w:rPr>
                              <w:t>DLorJointTCIState</w:t>
                            </w:r>
                            <w:r w:rsidRPr="00A44AE2">
                              <w:rPr>
                                <w:color w:val="000000" w:themeColor="text1"/>
                              </w:rPr>
                              <w:t xml:space="preserve"> </w:t>
                            </w:r>
                            <w:r>
                              <w:t xml:space="preserve">is not configured, the UE assumes that QCL-TypeA/D source RS is configured </w:t>
                            </w:r>
                            <w:bookmarkStart w:id="2" w:name="_Hlk86865630"/>
                            <w:r>
                              <w:t>in the CC/DL BWP where</w:t>
                            </w:r>
                            <w:bookmarkEnd w:id="2"/>
                            <w:r>
                              <w:t xml:space="preserve"> TCI state applies.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C45F35"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" fillcolor="white [3201]" strokeweight=".5pt">
                <v:textbox style="mso-fit-shape-to-text:t">
                  <w:txbxContent>
                    <w:p w14:paraId="720ED7EF" w14:textId="7B918011" w:rsidR="00F91980" w:rsidRDefault="00F91980">
                      <w:r>
                        <w:t>Excerpt from 38.214:</w:t>
                      </w:r>
                    </w:p>
                    <w:p w14:paraId="17EB1991" w14:textId="7F0CF1F0" w:rsidR="00F91980" w:rsidRDefault="00F91980">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3" w:name="_Hlk86865630"/>
                      <w:r>
                        <w:t>in the CC/DL BWP where</w:t>
                      </w:r>
                      <w:bookmarkEnd w:id="3"/>
                      <w:r>
                        <w:t xml:space="preserve"> TCI state applies.</w:t>
                      </w:r>
                    </w:p>
                  </w:txbxContent>
                </v:textbox>
                <w10:anchorlock/>
              </v:shape>
            </w:pict>
          </mc:Fallback>
        </mc:AlternateContent>
      </w:r>
    </w:p>
    <w:p w14:paraId="0611A195" w14:textId="364A54DA" w:rsidR="00F91980" w:rsidRDefault="00F91980" w:rsidP="00DF53FB">
      <w:pPr>
        <w:pStyle w:val="BodyText"/>
      </w:pPr>
      <w:r>
        <w:t xml:space="preserve">There is no reason why this statement should be limited to only the QCL-TypeA/D source RS: it should be applicable to all RS, including the QCL-Type B/C source RS, and the pathloss reference RS. If should also be applicable to UL TCI, where the similar functionality exists. </w:t>
      </w:r>
    </w:p>
    <w:p w14:paraId="5CA5FE9E" w14:textId="575098CF" w:rsidR="00A21CC0" w:rsidRPr="00A21CC0" w:rsidRDefault="00A21CC0" w:rsidP="00DF53FB">
      <w:pPr>
        <w:pStyle w:val="BodyText"/>
      </w:pPr>
      <w:r>
        <w:t xml:space="preserve">Note that for the pathloss reference RS, there is an additional parameter </w:t>
      </w:r>
      <w:r w:rsidRPr="00A21CC0">
        <w:rPr>
          <w:i/>
          <w:iCs/>
        </w:rPr>
        <w:t>pathlossReferenceLinking</w:t>
      </w:r>
      <w:r>
        <w:rPr>
          <w:i/>
          <w:iCs/>
        </w:rPr>
        <w:t xml:space="preserve">, </w:t>
      </w:r>
      <w:r>
        <w:t xml:space="preserve">which states that the UE should use the pathloss reference RS on the SpCell, rather than on the </w:t>
      </w:r>
      <w:r w:rsidR="006939A5">
        <w:t xml:space="preserve">current </w:t>
      </w:r>
      <w:r>
        <w:t>serving cell.</w:t>
      </w:r>
    </w:p>
    <w:p w14:paraId="2FBB5096" w14:textId="0EC91320" w:rsidR="00192596" w:rsidRDefault="00F91980" w:rsidP="00DF53FB">
      <w:pPr>
        <w:pStyle w:val="BodyText"/>
      </w:pPr>
      <w:r>
        <w:t xml:space="preserve">Note that in some cases, the desired </w:t>
      </w:r>
      <w:r w:rsidR="002C64CF">
        <w:t>behavior</w:t>
      </w:r>
      <w:r>
        <w:t xml:space="preserve"> is to refer to an RS in another CC/DL BWP than the one where the TCI state is applied. For example, we may want to use </w:t>
      </w:r>
      <w:r w:rsidR="00192596">
        <w:t>the SSB on one specific serving cell as QCL-TypeC source for CSI-RSs on other serving cells. To have this type of functionality, we would configure the serving cell index explicitly in the TCI state definition on the reference CC/BWP:</w:t>
      </w:r>
    </w:p>
    <w:p w14:paraId="34F9D36E" w14:textId="54454A21" w:rsidR="00F91980" w:rsidRDefault="00192596" w:rsidP="00192596">
      <w:pPr>
        <w:pStyle w:val="Observation"/>
      </w:pPr>
      <w:bookmarkStart w:id="3" w:name="_Toc111121051"/>
      <w:r>
        <w:t>To refer to an RS on a certain CC/BWP, the serving cell index and BWP id can be explicitly configured in the TCI state.</w:t>
      </w:r>
      <w:bookmarkEnd w:id="3"/>
      <w:r>
        <w:t xml:space="preserve"> </w:t>
      </w:r>
    </w:p>
    <w:p w14:paraId="06CFE4F4" w14:textId="507E4867" w:rsidR="00192596" w:rsidRDefault="00192596" w:rsidP="00DF53FB">
      <w:pPr>
        <w:pStyle w:val="BodyText"/>
      </w:pPr>
      <w:r>
        <w:t xml:space="preserve">Based on this, we provide a draft CR in </w:t>
      </w:r>
      <w:r w:rsidR="00D029DD">
        <w:fldChar w:fldCharType="begin"/>
      </w:r>
      <w:r w:rsidR="00D029DD">
        <w:instrText xml:space="preserve"> REF _Ref111121096 \r \h </w:instrText>
      </w:r>
      <w:r w:rsidR="00D029DD">
        <w:fldChar w:fldCharType="separate"/>
      </w:r>
      <w:r w:rsidR="00D029DD">
        <w:t>[1]</w:t>
      </w:r>
      <w:r w:rsidR="00D029DD">
        <w:fldChar w:fldCharType="end"/>
      </w:r>
      <w:r w:rsidR="00D029DD">
        <w:t>.</w:t>
      </w:r>
    </w:p>
    <w:p w14:paraId="69D932EA" w14:textId="63F9DCA4" w:rsidR="00C2095F" w:rsidRPr="002C4CE7" w:rsidRDefault="00CF7E7D" w:rsidP="00833992">
      <w:pPr>
        <w:pStyle w:val="Heading2"/>
      </w:pPr>
      <w:r w:rsidRPr="002C4CE7">
        <w:lastRenderedPageBreak/>
        <w:t>2.</w:t>
      </w:r>
      <w:r w:rsidR="00AA58E1" w:rsidRPr="002C4CE7">
        <w:t>2</w:t>
      </w:r>
      <w:r w:rsidR="002D2FE1" w:rsidRPr="002C4CE7">
        <w:tab/>
      </w:r>
      <w:r w:rsidR="00192596">
        <w:t>Required changes in 38.331</w:t>
      </w:r>
    </w:p>
    <w:p w14:paraId="22BC15AE" w14:textId="6E2ADE3E" w:rsidR="00192596" w:rsidRDefault="00192596" w:rsidP="004C7E4B">
      <w:pPr>
        <w:pStyle w:val="BodyText"/>
        <w:rPr>
          <w:lang w:val="en-GB"/>
        </w:rPr>
      </w:pPr>
      <w:r>
        <w:rPr>
          <w:lang w:val="en-GB"/>
        </w:rPr>
        <w:t xml:space="preserve">This is the current field description of the </w:t>
      </w:r>
      <w:r w:rsidRPr="005039C8">
        <w:rPr>
          <w:i/>
          <w:iCs/>
          <w:lang w:val="en-GB"/>
        </w:rPr>
        <w:t>QCL-Info</w:t>
      </w:r>
      <w:r>
        <w:rPr>
          <w:lang w:val="en-GB"/>
        </w:rPr>
        <w:t xml:space="preserve"> field in 38.331:</w:t>
      </w:r>
    </w:p>
    <w:p w14:paraId="749E2140" w14:textId="77777777" w:rsidR="00192596" w:rsidRPr="00962B3F" w:rsidRDefault="00192596" w:rsidP="00192596"/>
    <w:tbl>
      <w:tblPr>
        <w:tblW w:w="9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192596" w:rsidRPr="00962B3F" w14:paraId="3B86C933" w14:textId="77777777" w:rsidTr="00192596">
        <w:trPr>
          <w:trHeight w:val="259"/>
        </w:trPr>
        <w:tc>
          <w:tcPr>
            <w:tcW w:w="9202" w:type="dxa"/>
            <w:tcBorders>
              <w:top w:val="single" w:sz="4" w:space="0" w:color="auto"/>
              <w:left w:val="single" w:sz="4" w:space="0" w:color="auto"/>
              <w:bottom w:val="single" w:sz="4" w:space="0" w:color="auto"/>
              <w:right w:val="single" w:sz="4" w:space="0" w:color="auto"/>
            </w:tcBorders>
            <w:hideMark/>
          </w:tcPr>
          <w:p w14:paraId="716E9CEB" w14:textId="77777777" w:rsidR="00192596" w:rsidRPr="00962B3F" w:rsidRDefault="00192596" w:rsidP="00D97D0C">
            <w:pPr>
              <w:pStyle w:val="TAH"/>
              <w:rPr>
                <w:lang w:eastAsia="sv-SE"/>
              </w:rPr>
            </w:pPr>
            <w:r w:rsidRPr="00962B3F">
              <w:rPr>
                <w:i/>
                <w:lang w:eastAsia="sv-SE"/>
              </w:rPr>
              <w:t xml:space="preserve">QCL-Info </w:t>
            </w:r>
            <w:r w:rsidRPr="00962B3F">
              <w:rPr>
                <w:lang w:eastAsia="sv-SE"/>
              </w:rPr>
              <w:t>field descriptions</w:t>
            </w:r>
          </w:p>
        </w:tc>
      </w:tr>
      <w:tr w:rsidR="00192596" w:rsidRPr="00962B3F" w14:paraId="3D1BA7FD" w14:textId="77777777" w:rsidTr="00192596">
        <w:trPr>
          <w:trHeight w:val="530"/>
        </w:trPr>
        <w:tc>
          <w:tcPr>
            <w:tcW w:w="9202" w:type="dxa"/>
            <w:tcBorders>
              <w:top w:val="single" w:sz="4" w:space="0" w:color="auto"/>
              <w:left w:val="single" w:sz="4" w:space="0" w:color="auto"/>
              <w:bottom w:val="single" w:sz="4" w:space="0" w:color="auto"/>
              <w:right w:val="single" w:sz="4" w:space="0" w:color="auto"/>
            </w:tcBorders>
            <w:hideMark/>
          </w:tcPr>
          <w:p w14:paraId="3CE17DAC" w14:textId="77777777" w:rsidR="00192596" w:rsidRPr="00962B3F" w:rsidRDefault="00192596" w:rsidP="00D97D0C">
            <w:pPr>
              <w:pStyle w:val="TAL"/>
              <w:rPr>
                <w:lang w:eastAsia="sv-SE"/>
              </w:rPr>
            </w:pPr>
            <w:r w:rsidRPr="00962B3F">
              <w:rPr>
                <w:b/>
                <w:i/>
                <w:lang w:eastAsia="sv-SE"/>
              </w:rPr>
              <w:t>bwp-Id</w:t>
            </w:r>
          </w:p>
          <w:p w14:paraId="319F08A6" w14:textId="77777777" w:rsidR="00192596" w:rsidRPr="00962B3F" w:rsidRDefault="00192596" w:rsidP="00D97D0C">
            <w:pPr>
              <w:pStyle w:val="TAL"/>
              <w:rPr>
                <w:lang w:eastAsia="sv-SE"/>
              </w:rPr>
            </w:pPr>
            <w:r w:rsidRPr="00962B3F">
              <w:rPr>
                <w:lang w:eastAsia="sv-SE"/>
              </w:rPr>
              <w:t>The DL BWP which the RS is located in.</w:t>
            </w:r>
          </w:p>
        </w:tc>
      </w:tr>
      <w:tr w:rsidR="00192596" w:rsidRPr="00962B3F" w14:paraId="0023BE25" w14:textId="77777777" w:rsidTr="00192596">
        <w:trPr>
          <w:trHeight w:val="790"/>
        </w:trPr>
        <w:tc>
          <w:tcPr>
            <w:tcW w:w="9202" w:type="dxa"/>
            <w:tcBorders>
              <w:top w:val="single" w:sz="4" w:space="0" w:color="auto"/>
              <w:left w:val="single" w:sz="4" w:space="0" w:color="auto"/>
              <w:bottom w:val="single" w:sz="4" w:space="0" w:color="auto"/>
              <w:right w:val="single" w:sz="4" w:space="0" w:color="auto"/>
            </w:tcBorders>
            <w:hideMark/>
          </w:tcPr>
          <w:p w14:paraId="69086D06" w14:textId="77777777" w:rsidR="00192596" w:rsidRPr="00962B3F" w:rsidRDefault="00192596" w:rsidP="00D97D0C">
            <w:pPr>
              <w:pStyle w:val="TAL"/>
              <w:rPr>
                <w:lang w:eastAsia="sv-SE"/>
              </w:rPr>
            </w:pPr>
            <w:r w:rsidRPr="00962B3F">
              <w:rPr>
                <w:b/>
                <w:i/>
                <w:lang w:eastAsia="sv-SE"/>
              </w:rPr>
              <w:t>cell</w:t>
            </w:r>
          </w:p>
          <w:p w14:paraId="034B7066" w14:textId="77777777" w:rsidR="00192596" w:rsidRPr="00962B3F" w:rsidRDefault="00192596" w:rsidP="00D97D0C">
            <w:pPr>
              <w:pStyle w:val="TAL"/>
              <w:rPr>
                <w:lang w:eastAsia="sv-SE"/>
              </w:rPr>
            </w:pPr>
            <w:r w:rsidRPr="00962B3F">
              <w:rPr>
                <w:lang w:eastAsia="sv-SE"/>
              </w:rPr>
              <w:t xml:space="preserve">The UE's serving cell in which the </w:t>
            </w:r>
            <w:r w:rsidRPr="00962B3F">
              <w:rPr>
                <w:i/>
                <w:lang w:eastAsia="sv-SE"/>
              </w:rPr>
              <w:t>referenceSignal</w:t>
            </w:r>
            <w:r w:rsidRPr="00962B3F">
              <w:rPr>
                <w:lang w:eastAsia="sv-SE"/>
              </w:rPr>
              <w:t xml:space="preserve"> is configured. If the field is absent, it applies to the serving cell in which the </w:t>
            </w:r>
            <w:r w:rsidRPr="00962B3F">
              <w:rPr>
                <w:i/>
                <w:lang w:eastAsia="sv-SE"/>
              </w:rPr>
              <w:t xml:space="preserve">TCI-State </w:t>
            </w:r>
            <w:r w:rsidRPr="00962B3F">
              <w:rPr>
                <w:lang w:eastAsia="sv-SE"/>
              </w:rPr>
              <w:t xml:space="preserve">is configured. The RS can be located on a serving cell other than the serving cell in which the </w:t>
            </w:r>
            <w:r w:rsidRPr="00962B3F">
              <w:rPr>
                <w:i/>
                <w:lang w:eastAsia="sv-SE"/>
              </w:rPr>
              <w:t xml:space="preserve">TCI-State </w:t>
            </w:r>
            <w:r w:rsidRPr="00962B3F">
              <w:rPr>
                <w:lang w:eastAsia="sv-SE"/>
              </w:rPr>
              <w:t xml:space="preserve">is configured only if the </w:t>
            </w:r>
            <w:r w:rsidRPr="00962B3F">
              <w:rPr>
                <w:i/>
                <w:lang w:eastAsia="sv-SE"/>
              </w:rPr>
              <w:t>qcl-Type</w:t>
            </w:r>
            <w:r w:rsidRPr="00962B3F">
              <w:rPr>
                <w:lang w:eastAsia="sv-SE"/>
              </w:rPr>
              <w:t xml:space="preserve"> is configured as </w:t>
            </w:r>
            <w:r w:rsidRPr="00962B3F">
              <w:rPr>
                <w:i/>
                <w:lang w:eastAsia="sv-SE"/>
              </w:rPr>
              <w:t>typeC</w:t>
            </w:r>
            <w:r w:rsidRPr="00962B3F">
              <w:rPr>
                <w:lang w:eastAsia="sv-SE"/>
              </w:rPr>
              <w:t xml:space="preserve"> or </w:t>
            </w:r>
            <w:r w:rsidRPr="00962B3F">
              <w:rPr>
                <w:i/>
                <w:lang w:eastAsia="sv-SE"/>
              </w:rPr>
              <w:t>typeD</w:t>
            </w:r>
            <w:r w:rsidRPr="00962B3F">
              <w:rPr>
                <w:lang w:eastAsia="sv-SE"/>
              </w:rPr>
              <w:t>. See TS 38.214 [19] clause 5.1.5.</w:t>
            </w:r>
          </w:p>
        </w:tc>
      </w:tr>
      <w:tr w:rsidR="00192596" w:rsidRPr="00962B3F" w14:paraId="5441BBBB" w14:textId="77777777" w:rsidTr="00192596">
        <w:trPr>
          <w:trHeight w:val="530"/>
        </w:trPr>
        <w:tc>
          <w:tcPr>
            <w:tcW w:w="9202" w:type="dxa"/>
            <w:tcBorders>
              <w:top w:val="single" w:sz="4" w:space="0" w:color="auto"/>
              <w:left w:val="single" w:sz="4" w:space="0" w:color="auto"/>
              <w:bottom w:val="single" w:sz="4" w:space="0" w:color="auto"/>
              <w:right w:val="single" w:sz="4" w:space="0" w:color="auto"/>
            </w:tcBorders>
            <w:hideMark/>
          </w:tcPr>
          <w:p w14:paraId="764230B0" w14:textId="77777777" w:rsidR="00192596" w:rsidRPr="00962B3F" w:rsidRDefault="00192596" w:rsidP="00D97D0C">
            <w:pPr>
              <w:pStyle w:val="TAL"/>
              <w:rPr>
                <w:lang w:eastAsia="sv-SE"/>
              </w:rPr>
            </w:pPr>
            <w:r w:rsidRPr="00962B3F">
              <w:rPr>
                <w:b/>
                <w:i/>
                <w:lang w:eastAsia="sv-SE"/>
              </w:rPr>
              <w:t>referenceSignal</w:t>
            </w:r>
          </w:p>
          <w:p w14:paraId="6452B6F5" w14:textId="77777777" w:rsidR="00192596" w:rsidRPr="00962B3F" w:rsidRDefault="00192596" w:rsidP="00D97D0C">
            <w:pPr>
              <w:pStyle w:val="TAL"/>
              <w:rPr>
                <w:lang w:eastAsia="sv-SE"/>
              </w:rPr>
            </w:pPr>
            <w:r w:rsidRPr="00962B3F">
              <w:rPr>
                <w:lang w:eastAsia="sv-SE"/>
              </w:rPr>
              <w:t>Reference signal with which quasi-collocation information is provided as specified in TS 38.214 [19] clause 5.1.5.</w:t>
            </w:r>
          </w:p>
        </w:tc>
      </w:tr>
      <w:tr w:rsidR="00192596" w:rsidRPr="00962B3F" w14:paraId="3F5C48C5" w14:textId="77777777" w:rsidTr="00192596">
        <w:trPr>
          <w:trHeight w:val="519"/>
        </w:trPr>
        <w:tc>
          <w:tcPr>
            <w:tcW w:w="9202" w:type="dxa"/>
            <w:tcBorders>
              <w:top w:val="single" w:sz="4" w:space="0" w:color="auto"/>
              <w:left w:val="single" w:sz="4" w:space="0" w:color="auto"/>
              <w:bottom w:val="single" w:sz="4" w:space="0" w:color="auto"/>
              <w:right w:val="single" w:sz="4" w:space="0" w:color="auto"/>
            </w:tcBorders>
            <w:hideMark/>
          </w:tcPr>
          <w:p w14:paraId="78CBCFE5" w14:textId="77777777" w:rsidR="00192596" w:rsidRPr="00962B3F" w:rsidRDefault="00192596" w:rsidP="00D97D0C">
            <w:pPr>
              <w:pStyle w:val="TAL"/>
              <w:rPr>
                <w:b/>
                <w:i/>
                <w:lang w:eastAsia="sv-SE"/>
              </w:rPr>
            </w:pPr>
            <w:r w:rsidRPr="00962B3F">
              <w:rPr>
                <w:b/>
                <w:i/>
                <w:lang w:eastAsia="sv-SE"/>
              </w:rPr>
              <w:t>qcl-Type</w:t>
            </w:r>
          </w:p>
          <w:p w14:paraId="3DF371A9" w14:textId="77777777" w:rsidR="00192596" w:rsidRPr="00962B3F" w:rsidRDefault="00192596" w:rsidP="00D97D0C">
            <w:pPr>
              <w:pStyle w:val="TAL"/>
              <w:rPr>
                <w:b/>
                <w:i/>
                <w:lang w:eastAsia="sv-SE"/>
              </w:rPr>
            </w:pPr>
            <w:r w:rsidRPr="00962B3F">
              <w:rPr>
                <w:lang w:eastAsia="sv-SE"/>
              </w:rPr>
              <w:t>QCL type as specified in TS 38.214 [19] clause 5.1.5.</w:t>
            </w:r>
          </w:p>
        </w:tc>
      </w:tr>
    </w:tbl>
    <w:p w14:paraId="7D9CED20" w14:textId="2359F83D" w:rsidR="00192596" w:rsidRDefault="00192596" w:rsidP="00192596">
      <w:pPr>
        <w:pStyle w:val="TF"/>
      </w:pPr>
      <w:r>
        <w:t xml:space="preserve">Table </w:t>
      </w:r>
      <w:r w:rsidR="00886A06">
        <w:fldChar w:fldCharType="begin"/>
      </w:r>
      <w:r w:rsidR="00886A06">
        <w:instrText xml:space="preserve"> SEQ Table \* ARABIC </w:instrText>
      </w:r>
      <w:r w:rsidR="00886A06">
        <w:fldChar w:fldCharType="separate"/>
      </w:r>
      <w:r w:rsidR="005039C8">
        <w:rPr>
          <w:noProof/>
        </w:rPr>
        <w:t>1</w:t>
      </w:r>
      <w:r w:rsidR="00886A06">
        <w:rPr>
          <w:noProof/>
        </w:rPr>
        <w:fldChar w:fldCharType="end"/>
      </w:r>
      <w:r>
        <w:t xml:space="preserve">: </w:t>
      </w:r>
      <w:r w:rsidRPr="005039C8">
        <w:rPr>
          <w:i/>
          <w:iCs/>
        </w:rPr>
        <w:t>QCL-info</w:t>
      </w:r>
      <w:r>
        <w:t xml:space="preserve"> field descriptions (from </w:t>
      </w:r>
      <w:r>
        <w:fldChar w:fldCharType="begin"/>
      </w:r>
      <w:r>
        <w:instrText xml:space="preserve"> REF _Ref110348185 \r \h </w:instrText>
      </w:r>
      <w:r>
        <w:fldChar w:fldCharType="separate"/>
      </w:r>
      <w:r w:rsidR="005039C8">
        <w:t>[2]</w:t>
      </w:r>
      <w:r>
        <w:fldChar w:fldCharType="end"/>
      </w:r>
      <w:r>
        <w:t>)</w:t>
      </w:r>
    </w:p>
    <w:p w14:paraId="7DC120B9" w14:textId="2D8E3312" w:rsidR="005039C8" w:rsidRDefault="00207D83" w:rsidP="004C7E4B">
      <w:pPr>
        <w:pStyle w:val="BodyText"/>
        <w:rPr>
          <w:lang w:val="en-GB"/>
        </w:rPr>
      </w:pPr>
      <w:r>
        <w:rPr>
          <w:lang w:val="en-GB"/>
        </w:rPr>
        <w:t xml:space="preserve">In the description of the </w:t>
      </w:r>
      <w:r w:rsidRPr="0077477C">
        <w:rPr>
          <w:i/>
          <w:iCs/>
          <w:lang w:val="en-GB"/>
        </w:rPr>
        <w:t xml:space="preserve">cell </w:t>
      </w:r>
      <w:r>
        <w:rPr>
          <w:lang w:val="en-GB"/>
        </w:rPr>
        <w:t xml:space="preserve">field, it is stated that if the </w:t>
      </w:r>
      <w:r w:rsidRPr="0077477C">
        <w:rPr>
          <w:i/>
          <w:iCs/>
          <w:lang w:val="en-GB"/>
        </w:rPr>
        <w:t>cell</w:t>
      </w:r>
      <w:r>
        <w:rPr>
          <w:lang w:val="en-GB"/>
        </w:rPr>
        <w:t xml:space="preserve"> field is absent, the reference signal is defined in the serving cell where the </w:t>
      </w:r>
      <w:r w:rsidRPr="0077477C">
        <w:rPr>
          <w:i/>
          <w:iCs/>
          <w:lang w:val="en-GB"/>
        </w:rPr>
        <w:t>TCI-State</w:t>
      </w:r>
      <w:r>
        <w:rPr>
          <w:lang w:val="en-GB"/>
        </w:rPr>
        <w:t xml:space="preserve"> is configured. As long as TCI states were configured in all serving cells, this was an accurate statement. However, with the reference CC functionality, the TCI states may be configured in one serving cell and used in another serving cell. It is even so that the text in 38.331 </w:t>
      </w:r>
      <w:r w:rsidR="005039C8">
        <w:rPr>
          <w:lang w:val="en-GB"/>
        </w:rPr>
        <w:t>conflicts with</w:t>
      </w:r>
      <w:r>
        <w:rPr>
          <w:lang w:val="en-GB"/>
        </w:rPr>
        <w:t xml:space="preserve"> the text in 38.214, as indicated by the excerpt in section 2.1. </w:t>
      </w:r>
    </w:p>
    <w:p w14:paraId="361E7421" w14:textId="0CA916E5" w:rsidR="005039C8" w:rsidRDefault="005039C8" w:rsidP="004C7E4B">
      <w:pPr>
        <w:pStyle w:val="BodyText"/>
        <w:rPr>
          <w:lang w:val="en-GB"/>
        </w:rPr>
      </w:pPr>
      <w:r>
        <w:rPr>
          <w:lang w:val="en-GB"/>
        </w:rPr>
        <w:t xml:space="preserve">The same problem exists in the field description for the </w:t>
      </w:r>
      <w:r w:rsidRPr="005039C8">
        <w:rPr>
          <w:i/>
          <w:iCs/>
          <w:lang w:val="en-GB"/>
        </w:rPr>
        <w:t>TCI-UL-State</w:t>
      </w:r>
      <w:r>
        <w:rPr>
          <w:lang w:val="en-GB"/>
        </w:rPr>
        <w:t>:</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5039C8" w:rsidRPr="00962B3F" w14:paraId="77A965B4" w14:textId="77777777" w:rsidTr="005039C8">
        <w:trPr>
          <w:trHeight w:val="167"/>
        </w:trPr>
        <w:tc>
          <w:tcPr>
            <w:tcW w:w="9332" w:type="dxa"/>
            <w:tcBorders>
              <w:top w:val="single" w:sz="4" w:space="0" w:color="auto"/>
              <w:left w:val="single" w:sz="4" w:space="0" w:color="auto"/>
              <w:bottom w:val="single" w:sz="4" w:space="0" w:color="auto"/>
              <w:right w:val="single" w:sz="4" w:space="0" w:color="auto"/>
            </w:tcBorders>
            <w:hideMark/>
          </w:tcPr>
          <w:p w14:paraId="158DB019" w14:textId="77777777" w:rsidR="005039C8" w:rsidRPr="00962B3F" w:rsidRDefault="005039C8" w:rsidP="00D97D0C">
            <w:pPr>
              <w:pStyle w:val="TAH"/>
              <w:rPr>
                <w:lang w:eastAsia="sv-SE"/>
              </w:rPr>
            </w:pPr>
            <w:r w:rsidRPr="00962B3F">
              <w:rPr>
                <w:i/>
              </w:rPr>
              <w:t>TCI-UL-State</w:t>
            </w:r>
            <w:r w:rsidRPr="00962B3F">
              <w:t xml:space="preserve"> </w:t>
            </w:r>
            <w:r w:rsidRPr="00962B3F">
              <w:rPr>
                <w:lang w:eastAsia="sv-SE"/>
              </w:rPr>
              <w:t>field descriptions</w:t>
            </w:r>
          </w:p>
        </w:tc>
      </w:tr>
      <w:tr w:rsidR="005039C8" w:rsidRPr="00962B3F" w14:paraId="7BDE08E8" w14:textId="77777777" w:rsidTr="005039C8">
        <w:trPr>
          <w:trHeight w:val="342"/>
        </w:trPr>
        <w:tc>
          <w:tcPr>
            <w:tcW w:w="9332" w:type="dxa"/>
            <w:tcBorders>
              <w:top w:val="single" w:sz="4" w:space="0" w:color="auto"/>
              <w:left w:val="single" w:sz="4" w:space="0" w:color="auto"/>
              <w:bottom w:val="single" w:sz="4" w:space="0" w:color="auto"/>
              <w:right w:val="single" w:sz="4" w:space="0" w:color="auto"/>
            </w:tcBorders>
          </w:tcPr>
          <w:p w14:paraId="38AF9431" w14:textId="77777777" w:rsidR="005039C8" w:rsidRPr="00962B3F" w:rsidRDefault="005039C8" w:rsidP="00D97D0C">
            <w:pPr>
              <w:pStyle w:val="TAL"/>
              <w:rPr>
                <w:b/>
                <w:bCs/>
                <w:i/>
                <w:iCs/>
                <w:lang w:eastAsia="sv-SE"/>
              </w:rPr>
            </w:pPr>
            <w:r w:rsidRPr="00962B3F">
              <w:rPr>
                <w:b/>
                <w:bCs/>
                <w:i/>
                <w:iCs/>
              </w:rPr>
              <w:t>additionalPCI</w:t>
            </w:r>
          </w:p>
          <w:p w14:paraId="42D4E18F" w14:textId="77777777" w:rsidR="005039C8" w:rsidRPr="00962B3F" w:rsidRDefault="005039C8" w:rsidP="00D97D0C">
            <w:pPr>
              <w:pStyle w:val="TAL"/>
              <w:rPr>
                <w:lang w:eastAsia="sv-SE"/>
              </w:rPr>
            </w:pPr>
            <w:r w:rsidRPr="00962B3F">
              <w:t>Indicates the physical cell IDs (PCI) of the SSBs.</w:t>
            </w:r>
          </w:p>
        </w:tc>
      </w:tr>
      <w:tr w:rsidR="005039C8" w:rsidRPr="00962B3F" w14:paraId="55273E91" w14:textId="77777777" w:rsidTr="005039C8">
        <w:trPr>
          <w:trHeight w:val="342"/>
        </w:trPr>
        <w:tc>
          <w:tcPr>
            <w:tcW w:w="9332" w:type="dxa"/>
            <w:tcBorders>
              <w:top w:val="single" w:sz="4" w:space="0" w:color="auto"/>
              <w:left w:val="single" w:sz="4" w:space="0" w:color="auto"/>
              <w:bottom w:val="single" w:sz="4" w:space="0" w:color="auto"/>
              <w:right w:val="single" w:sz="4" w:space="0" w:color="auto"/>
            </w:tcBorders>
          </w:tcPr>
          <w:p w14:paraId="1008A3F2" w14:textId="77777777" w:rsidR="005039C8" w:rsidRPr="00962B3F" w:rsidRDefault="005039C8" w:rsidP="00D97D0C">
            <w:pPr>
              <w:pStyle w:val="TAL"/>
              <w:rPr>
                <w:lang w:eastAsia="sv-SE"/>
              </w:rPr>
            </w:pPr>
            <w:r w:rsidRPr="00962B3F">
              <w:rPr>
                <w:b/>
                <w:i/>
                <w:lang w:eastAsia="sv-SE"/>
              </w:rPr>
              <w:t>bwp-Id</w:t>
            </w:r>
          </w:p>
          <w:p w14:paraId="3686318A" w14:textId="77777777" w:rsidR="005039C8" w:rsidRPr="00962B3F" w:rsidRDefault="005039C8" w:rsidP="00D97D0C">
            <w:pPr>
              <w:pStyle w:val="TAL"/>
              <w:rPr>
                <w:lang w:eastAsia="sv-SE"/>
              </w:rPr>
            </w:pPr>
            <w:r w:rsidRPr="00962B3F">
              <w:rPr>
                <w:lang w:eastAsia="sv-SE"/>
              </w:rPr>
              <w:t>The DL BWP which the CSI-RS is located in or UL BWP where the SRS is located in.</w:t>
            </w:r>
          </w:p>
        </w:tc>
      </w:tr>
      <w:tr w:rsidR="005039C8" w:rsidRPr="00962B3F" w14:paraId="156DBFD7" w14:textId="77777777" w:rsidTr="005039C8">
        <w:trPr>
          <w:trHeight w:val="509"/>
        </w:trPr>
        <w:tc>
          <w:tcPr>
            <w:tcW w:w="9332" w:type="dxa"/>
            <w:tcBorders>
              <w:top w:val="single" w:sz="4" w:space="0" w:color="auto"/>
              <w:left w:val="single" w:sz="4" w:space="0" w:color="auto"/>
              <w:bottom w:val="single" w:sz="4" w:space="0" w:color="auto"/>
              <w:right w:val="single" w:sz="4" w:space="0" w:color="auto"/>
            </w:tcBorders>
            <w:hideMark/>
          </w:tcPr>
          <w:p w14:paraId="5D982CCC" w14:textId="77777777" w:rsidR="005039C8" w:rsidRPr="00962B3F" w:rsidRDefault="005039C8" w:rsidP="00D97D0C">
            <w:pPr>
              <w:pStyle w:val="TAL"/>
              <w:rPr>
                <w:lang w:eastAsia="sv-SE"/>
              </w:rPr>
            </w:pPr>
            <w:r w:rsidRPr="00962B3F">
              <w:rPr>
                <w:b/>
                <w:i/>
                <w:lang w:eastAsia="sv-SE"/>
              </w:rPr>
              <w:t>servingCellId</w:t>
            </w:r>
          </w:p>
          <w:p w14:paraId="31FB6C12" w14:textId="77777777" w:rsidR="005039C8" w:rsidRPr="00962B3F" w:rsidRDefault="005039C8" w:rsidP="00D97D0C">
            <w:pPr>
              <w:pStyle w:val="TAL"/>
              <w:rPr>
                <w:lang w:eastAsia="sv-SE"/>
              </w:rPr>
            </w:pPr>
            <w:r w:rsidRPr="00962B3F">
              <w:rPr>
                <w:lang w:eastAsia="sv-SE"/>
              </w:rPr>
              <w:t xml:space="preserve">The UE's serving cell in which the </w:t>
            </w:r>
            <w:r w:rsidRPr="00962B3F">
              <w:rPr>
                <w:i/>
                <w:lang w:eastAsia="sv-SE"/>
              </w:rPr>
              <w:t>referenceSignal</w:t>
            </w:r>
            <w:r w:rsidRPr="00962B3F">
              <w:rPr>
                <w:lang w:eastAsia="sv-SE"/>
              </w:rPr>
              <w:t xml:space="preserve"> is configured. If the field is absent, it applies to the serving cell in which the </w:t>
            </w:r>
            <w:r w:rsidRPr="00962B3F">
              <w:rPr>
                <w:i/>
                <w:lang w:eastAsia="sv-SE"/>
              </w:rPr>
              <w:t xml:space="preserve">TCI-State </w:t>
            </w:r>
            <w:r w:rsidRPr="00962B3F">
              <w:rPr>
                <w:lang w:eastAsia="sv-SE"/>
              </w:rPr>
              <w:t xml:space="preserve">is configured. The RS can be located on a serving cell other than the serving cell in which the </w:t>
            </w:r>
            <w:r w:rsidRPr="00962B3F">
              <w:rPr>
                <w:i/>
                <w:lang w:eastAsia="sv-SE"/>
              </w:rPr>
              <w:t xml:space="preserve">TCI-State </w:t>
            </w:r>
            <w:r w:rsidRPr="00962B3F">
              <w:rPr>
                <w:lang w:eastAsia="sv-SE"/>
              </w:rPr>
              <w:t xml:space="preserve">is configured only if the </w:t>
            </w:r>
            <w:r w:rsidRPr="00962B3F">
              <w:rPr>
                <w:i/>
                <w:lang w:eastAsia="sv-SE"/>
              </w:rPr>
              <w:t>qcl-Type</w:t>
            </w:r>
            <w:r w:rsidRPr="00962B3F">
              <w:rPr>
                <w:lang w:eastAsia="sv-SE"/>
              </w:rPr>
              <w:t xml:space="preserve"> is configured as </w:t>
            </w:r>
            <w:r w:rsidRPr="00962B3F">
              <w:rPr>
                <w:i/>
                <w:lang w:eastAsia="sv-SE"/>
              </w:rPr>
              <w:t>typeC</w:t>
            </w:r>
            <w:r w:rsidRPr="00962B3F">
              <w:rPr>
                <w:lang w:eastAsia="sv-SE"/>
              </w:rPr>
              <w:t xml:space="preserve"> or </w:t>
            </w:r>
            <w:r w:rsidRPr="00962B3F">
              <w:rPr>
                <w:i/>
                <w:lang w:eastAsia="sv-SE"/>
              </w:rPr>
              <w:t>typeD</w:t>
            </w:r>
            <w:r w:rsidRPr="00962B3F">
              <w:rPr>
                <w:lang w:eastAsia="sv-SE"/>
              </w:rPr>
              <w:t>. See TS 38.214 [19] clause 5.1.5.</w:t>
            </w:r>
          </w:p>
        </w:tc>
      </w:tr>
      <w:tr w:rsidR="005039C8" w:rsidRPr="00962B3F" w14:paraId="41D53661" w14:textId="77777777" w:rsidTr="005039C8">
        <w:trPr>
          <w:trHeight w:val="334"/>
        </w:trPr>
        <w:tc>
          <w:tcPr>
            <w:tcW w:w="9332" w:type="dxa"/>
            <w:tcBorders>
              <w:top w:val="single" w:sz="4" w:space="0" w:color="auto"/>
              <w:left w:val="single" w:sz="4" w:space="0" w:color="auto"/>
              <w:bottom w:val="single" w:sz="4" w:space="0" w:color="auto"/>
              <w:right w:val="single" w:sz="4" w:space="0" w:color="auto"/>
            </w:tcBorders>
          </w:tcPr>
          <w:p w14:paraId="2E6551A8" w14:textId="77777777" w:rsidR="005039C8" w:rsidRPr="00962B3F" w:rsidRDefault="005039C8" w:rsidP="00D97D0C">
            <w:pPr>
              <w:pStyle w:val="TAL"/>
              <w:rPr>
                <w:b/>
                <w:i/>
                <w:lang w:eastAsia="sv-SE"/>
              </w:rPr>
            </w:pPr>
            <w:r w:rsidRPr="00962B3F">
              <w:rPr>
                <w:b/>
                <w:i/>
                <w:lang w:eastAsia="sv-SE"/>
              </w:rPr>
              <w:t>pathlossReferenceRS-Id</w:t>
            </w:r>
          </w:p>
          <w:p w14:paraId="7FFA567F" w14:textId="77777777" w:rsidR="005039C8" w:rsidRPr="00962B3F" w:rsidRDefault="005039C8" w:rsidP="00D97D0C">
            <w:pPr>
              <w:pStyle w:val="TAL"/>
              <w:rPr>
                <w:bCs/>
                <w:iCs/>
                <w:lang w:eastAsia="sv-SE"/>
              </w:rPr>
            </w:pPr>
            <w:r w:rsidRPr="00962B3F">
              <w:rPr>
                <w:bCs/>
                <w:iCs/>
                <w:lang w:eastAsia="sv-SE"/>
              </w:rPr>
              <w:t>The ID of the reference Signal (e.g. a CSI-RS config or a SS block) used for PUSCH path loss estimation.</w:t>
            </w:r>
          </w:p>
        </w:tc>
      </w:tr>
      <w:tr w:rsidR="005039C8" w:rsidRPr="00962B3F" w14:paraId="6A0EABE4" w14:textId="77777777" w:rsidTr="005039C8">
        <w:trPr>
          <w:trHeight w:val="509"/>
        </w:trPr>
        <w:tc>
          <w:tcPr>
            <w:tcW w:w="9332" w:type="dxa"/>
            <w:tcBorders>
              <w:top w:val="single" w:sz="4" w:space="0" w:color="auto"/>
              <w:left w:val="single" w:sz="4" w:space="0" w:color="auto"/>
              <w:bottom w:val="single" w:sz="4" w:space="0" w:color="auto"/>
              <w:right w:val="single" w:sz="4" w:space="0" w:color="auto"/>
            </w:tcBorders>
            <w:hideMark/>
          </w:tcPr>
          <w:p w14:paraId="2B9404FA" w14:textId="77777777" w:rsidR="005039C8" w:rsidRPr="00962B3F" w:rsidRDefault="005039C8" w:rsidP="00D97D0C">
            <w:pPr>
              <w:pStyle w:val="TAL"/>
              <w:rPr>
                <w:b/>
                <w:i/>
                <w:lang w:eastAsia="sv-SE"/>
              </w:rPr>
            </w:pPr>
            <w:r w:rsidRPr="00962B3F">
              <w:rPr>
                <w:b/>
                <w:i/>
                <w:lang w:eastAsia="sv-SE"/>
              </w:rPr>
              <w:t>ul-powerControl</w:t>
            </w:r>
          </w:p>
          <w:p w14:paraId="688FA736" w14:textId="77777777" w:rsidR="005039C8" w:rsidRPr="00962B3F" w:rsidRDefault="005039C8" w:rsidP="00D97D0C">
            <w:pPr>
              <w:pStyle w:val="TAL"/>
              <w:rPr>
                <w:b/>
                <w:i/>
                <w:lang w:eastAsia="sv-SE"/>
              </w:rPr>
            </w:pPr>
            <w:r w:rsidRPr="00962B3F">
              <w:rPr>
                <w:bCs/>
                <w:iCs/>
                <w:lang w:eastAsia="sv-SE"/>
              </w:rPr>
              <w:t xml:space="preserve">Configures power control parameters for PUCCH, PUSCH and SRS for this TCI state. </w:t>
            </w:r>
            <w:bookmarkStart w:id="4" w:name="_Hlk104458996"/>
            <w:r w:rsidRPr="00962B3F">
              <w:t>The</w:t>
            </w:r>
            <w:r w:rsidRPr="00962B3F" w:rsidDel="00A87DC7">
              <w:rPr>
                <w:bCs/>
                <w:iCs/>
                <w:lang w:eastAsia="sv-SE"/>
              </w:rPr>
              <w:t xml:space="preserve"> </w:t>
            </w:r>
            <w:r w:rsidRPr="00962B3F">
              <w:rPr>
                <w:bCs/>
                <w:iCs/>
                <w:lang w:eastAsia="sv-SE"/>
              </w:rPr>
              <w:t xml:space="preserve">field is present here only if </w:t>
            </w:r>
            <w:r w:rsidRPr="00962B3F">
              <w:rPr>
                <w:rFonts w:eastAsia="SimSun"/>
                <w:i/>
                <w:iCs/>
                <w:lang w:eastAsia="zh-CN"/>
              </w:rPr>
              <w:t>ul-powerControl</w:t>
            </w:r>
            <w:r w:rsidRPr="00962B3F">
              <w:rPr>
                <w:rFonts w:eastAsia="SimSun"/>
                <w:lang w:eastAsia="zh-CN"/>
              </w:rPr>
              <w:t xml:space="preserve"> </w:t>
            </w:r>
            <w:r w:rsidRPr="00962B3F">
              <w:rPr>
                <w:bCs/>
                <w:iCs/>
                <w:lang w:eastAsia="sv-SE"/>
              </w:rPr>
              <w:t>is not configured in any</w:t>
            </w:r>
            <w:r w:rsidRPr="00962B3F">
              <w:rPr>
                <w:i/>
                <w:iCs/>
              </w:rPr>
              <w:t xml:space="preserve"> BWP-Uplink-Dedicated </w:t>
            </w:r>
            <w:r w:rsidRPr="00962B3F">
              <w:t>of this serving cell</w:t>
            </w:r>
            <w:r w:rsidRPr="00962B3F">
              <w:rPr>
                <w:bCs/>
                <w:iCs/>
                <w:lang w:eastAsia="sv-SE"/>
              </w:rPr>
              <w:t>.</w:t>
            </w:r>
            <w:bookmarkEnd w:id="4"/>
          </w:p>
        </w:tc>
      </w:tr>
    </w:tbl>
    <w:p w14:paraId="0A15D617" w14:textId="42967EE5" w:rsidR="005039C8" w:rsidRDefault="005039C8" w:rsidP="005039C8">
      <w:pPr>
        <w:pStyle w:val="TF"/>
      </w:pPr>
      <w:r>
        <w:t xml:space="preserve">Table </w:t>
      </w:r>
      <w:r>
        <w:fldChar w:fldCharType="begin"/>
      </w:r>
      <w:r>
        <w:instrText xml:space="preserve"> SEQ Table \* ARABIC </w:instrText>
      </w:r>
      <w:r>
        <w:fldChar w:fldCharType="separate"/>
      </w:r>
      <w:r>
        <w:rPr>
          <w:noProof/>
        </w:rPr>
        <w:t>2</w:t>
      </w:r>
      <w:r>
        <w:fldChar w:fldCharType="end"/>
      </w:r>
      <w:r>
        <w:t xml:space="preserve">: </w:t>
      </w:r>
      <w:r w:rsidRPr="00962B3F">
        <w:rPr>
          <w:i/>
        </w:rPr>
        <w:t>TCI-UL-State</w:t>
      </w:r>
      <w:r w:rsidRPr="00962B3F">
        <w:t xml:space="preserve"> </w:t>
      </w:r>
      <w:r>
        <w:t xml:space="preserve">field descriptions (from </w:t>
      </w:r>
      <w:r>
        <w:fldChar w:fldCharType="begin"/>
      </w:r>
      <w:r>
        <w:instrText xml:space="preserve"> REF _Ref110348185 \r \h </w:instrText>
      </w:r>
      <w:r>
        <w:fldChar w:fldCharType="separate"/>
      </w:r>
      <w:r>
        <w:t>[2]</w:t>
      </w:r>
      <w:r>
        <w:fldChar w:fldCharType="end"/>
      </w:r>
      <w:r>
        <w:t>)</w:t>
      </w:r>
    </w:p>
    <w:p w14:paraId="1A7AA7E1" w14:textId="0BE3FCDA" w:rsidR="005039C8" w:rsidRPr="005039C8" w:rsidRDefault="005039C8" w:rsidP="004C7E4B">
      <w:pPr>
        <w:pStyle w:val="BodyText"/>
        <w:rPr>
          <w:i/>
          <w:iCs/>
          <w:lang w:val="en-GB"/>
        </w:rPr>
      </w:pPr>
      <w:r>
        <w:rPr>
          <w:lang w:val="en-GB"/>
        </w:rPr>
        <w:t xml:space="preserve">Also here, it would be appropriate to change the field description of </w:t>
      </w:r>
      <w:r w:rsidRPr="005039C8">
        <w:rPr>
          <w:i/>
          <w:iCs/>
          <w:lang w:val="en-GB"/>
        </w:rPr>
        <w:t>servingCellId</w:t>
      </w:r>
      <w:r>
        <w:rPr>
          <w:i/>
          <w:iCs/>
          <w:lang w:val="en-GB"/>
        </w:rPr>
        <w:t xml:space="preserve">. </w:t>
      </w:r>
      <w:r>
        <w:rPr>
          <w:lang w:val="en-GB"/>
        </w:rPr>
        <w:t xml:space="preserve">In addition, we note that the reference to </w:t>
      </w:r>
      <w:r>
        <w:rPr>
          <w:i/>
          <w:iCs/>
          <w:lang w:val="en-GB"/>
        </w:rPr>
        <w:t xml:space="preserve">qcl-Type </w:t>
      </w:r>
      <w:r>
        <w:rPr>
          <w:lang w:val="en-GB"/>
        </w:rPr>
        <w:t xml:space="preserve">is inappropriate for </w:t>
      </w:r>
      <w:r>
        <w:rPr>
          <w:i/>
          <w:iCs/>
          <w:lang w:val="en-GB"/>
        </w:rPr>
        <w:t>TCI-UL-State.</w:t>
      </w:r>
    </w:p>
    <w:p w14:paraId="04F7F014" w14:textId="4DC3D736" w:rsidR="00192596" w:rsidRDefault="00207D83" w:rsidP="004C7E4B">
      <w:pPr>
        <w:pStyle w:val="BodyText"/>
        <w:rPr>
          <w:lang w:val="en-GB"/>
        </w:rPr>
      </w:pPr>
      <w:r>
        <w:rPr>
          <w:lang w:val="en-GB"/>
        </w:rPr>
        <w:t xml:space="preserve">Therefore, we propose to send an LS to RAN2, asking </w:t>
      </w:r>
      <w:r w:rsidR="0077477C">
        <w:rPr>
          <w:lang w:val="en-GB"/>
        </w:rPr>
        <w:t>RAN2 to update</w:t>
      </w:r>
      <w:r>
        <w:rPr>
          <w:lang w:val="en-GB"/>
        </w:rPr>
        <w:t xml:space="preserve"> the description of the </w:t>
      </w:r>
      <w:r w:rsidRPr="005039C8">
        <w:rPr>
          <w:i/>
          <w:iCs/>
          <w:lang w:val="en-GB"/>
        </w:rPr>
        <w:t xml:space="preserve">cell </w:t>
      </w:r>
      <w:r>
        <w:rPr>
          <w:lang w:val="en-GB"/>
        </w:rPr>
        <w:t>field</w:t>
      </w:r>
      <w:r w:rsidR="005039C8">
        <w:rPr>
          <w:lang w:val="en-GB"/>
        </w:rPr>
        <w:t xml:space="preserve"> in </w:t>
      </w:r>
      <w:r w:rsidR="005039C8">
        <w:rPr>
          <w:i/>
          <w:iCs/>
          <w:lang w:val="en-GB"/>
        </w:rPr>
        <w:t>QCL-info</w:t>
      </w:r>
      <w:r w:rsidR="005039C8">
        <w:rPr>
          <w:lang w:val="en-GB"/>
        </w:rPr>
        <w:t xml:space="preserve">, and the </w:t>
      </w:r>
      <w:r w:rsidR="005039C8" w:rsidRPr="005039C8">
        <w:rPr>
          <w:i/>
          <w:iCs/>
          <w:lang w:val="en-GB"/>
        </w:rPr>
        <w:t>servingCellId</w:t>
      </w:r>
      <w:r w:rsidR="005039C8">
        <w:rPr>
          <w:lang w:val="en-GB"/>
        </w:rPr>
        <w:t xml:space="preserve"> field in </w:t>
      </w:r>
      <w:r w:rsidR="005039C8" w:rsidRPr="005039C8">
        <w:rPr>
          <w:i/>
          <w:iCs/>
          <w:lang w:val="en-GB"/>
        </w:rPr>
        <w:t>TCI-UL-State</w:t>
      </w:r>
      <w:r>
        <w:rPr>
          <w:lang w:val="en-GB"/>
        </w:rPr>
        <w:t>, by changing “configured” to “applied”:</w:t>
      </w:r>
    </w:p>
    <w:p w14:paraId="7BA47D29" w14:textId="0337FC52" w:rsidR="00207D83" w:rsidRDefault="00207D83" w:rsidP="00207D83">
      <w:pPr>
        <w:pStyle w:val="Proposal"/>
        <w:rPr>
          <w:lang w:val="en-GB"/>
        </w:rPr>
      </w:pPr>
      <w:bookmarkStart w:id="5" w:name="_Toc111121052"/>
      <w:r>
        <w:rPr>
          <w:lang w:val="en-GB"/>
        </w:rPr>
        <w:t xml:space="preserve">Send an LS to RAN2 asking them to change the description of the </w:t>
      </w:r>
      <w:r w:rsidR="005039C8" w:rsidRPr="005039C8">
        <w:rPr>
          <w:i/>
          <w:iCs/>
          <w:lang w:val="en-GB"/>
        </w:rPr>
        <w:t xml:space="preserve">cell </w:t>
      </w:r>
      <w:r w:rsidR="005039C8">
        <w:rPr>
          <w:lang w:val="en-GB"/>
        </w:rPr>
        <w:t xml:space="preserve">field in </w:t>
      </w:r>
      <w:r w:rsidR="005039C8">
        <w:rPr>
          <w:i/>
          <w:iCs/>
          <w:lang w:val="en-GB"/>
        </w:rPr>
        <w:t>QCL-info</w:t>
      </w:r>
      <w:r w:rsidR="005039C8">
        <w:rPr>
          <w:lang w:val="en-GB"/>
        </w:rPr>
        <w:t xml:space="preserve">, and the </w:t>
      </w:r>
      <w:r w:rsidR="005039C8" w:rsidRPr="005039C8">
        <w:rPr>
          <w:i/>
          <w:iCs/>
          <w:lang w:val="en-GB"/>
        </w:rPr>
        <w:t>servingCellId</w:t>
      </w:r>
      <w:r w:rsidR="005039C8">
        <w:rPr>
          <w:lang w:val="en-GB"/>
        </w:rPr>
        <w:t xml:space="preserve"> field in </w:t>
      </w:r>
      <w:r w:rsidR="005039C8" w:rsidRPr="005039C8">
        <w:rPr>
          <w:i/>
          <w:iCs/>
          <w:lang w:val="en-GB"/>
        </w:rPr>
        <w:t>TCI-UL-State</w:t>
      </w:r>
      <w:bookmarkEnd w:id="5"/>
    </w:p>
    <w:p w14:paraId="37EB5693" w14:textId="0C7BDF57" w:rsidR="00C01F33" w:rsidRPr="00CE0424" w:rsidRDefault="00C01F33" w:rsidP="00CE0424">
      <w:pPr>
        <w:pStyle w:val="Heading1"/>
      </w:pPr>
      <w:bookmarkStart w:id="6"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6"/>
    <w:p w14:paraId="3CBE224B" w14:textId="170F989C" w:rsidR="005039C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1121051" w:history="1">
        <w:r w:rsidR="005039C8" w:rsidRPr="00E43868">
          <w:rPr>
            <w:rStyle w:val="Hyperlink"/>
            <w:noProof/>
          </w:rPr>
          <w:t>Observation 1</w:t>
        </w:r>
        <w:r w:rsidR="005039C8">
          <w:rPr>
            <w:rFonts w:asciiTheme="minorHAnsi" w:eastAsiaTheme="minorEastAsia" w:hAnsiTheme="minorHAnsi" w:cstheme="minorBidi"/>
            <w:b w:val="0"/>
            <w:noProof/>
            <w:sz w:val="22"/>
            <w:szCs w:val="22"/>
            <w:lang w:val="en-SE" w:eastAsia="en-SE"/>
          </w:rPr>
          <w:tab/>
        </w:r>
        <w:r w:rsidR="005039C8" w:rsidRPr="00E43868">
          <w:rPr>
            <w:rStyle w:val="Hyperlink"/>
            <w:noProof/>
          </w:rPr>
          <w:t>To refer to an RS on a certain CC/BWP, the serving cell index and BWP id can be explicitly configured in the TCI state.</w:t>
        </w:r>
      </w:hyperlink>
    </w:p>
    <w:p w14:paraId="6225A1B8" w14:textId="65367B0C"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B68142A" w14:textId="77777777" w:rsidR="005039C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lastRenderedPageBreak/>
        <w:fldChar w:fldCharType="begin"/>
      </w:r>
      <w:r>
        <w:rPr>
          <w:bCs/>
        </w:rPr>
        <w:instrText xml:space="preserve"> TOC \n \h \z \t "Proposal" \c </w:instrText>
      </w:r>
      <w:r>
        <w:rPr>
          <w:bCs/>
        </w:rPr>
        <w:fldChar w:fldCharType="separate"/>
      </w:r>
      <w:hyperlink w:anchor="_Toc111121052" w:history="1">
        <w:r w:rsidR="005039C8" w:rsidRPr="006F0AD4">
          <w:rPr>
            <w:rStyle w:val="Hyperlink"/>
            <w:noProof/>
            <w:lang w:val="en-GB"/>
          </w:rPr>
          <w:t>Proposal 1</w:t>
        </w:r>
        <w:r w:rsidR="005039C8">
          <w:rPr>
            <w:rFonts w:asciiTheme="minorHAnsi" w:eastAsiaTheme="minorEastAsia" w:hAnsiTheme="minorHAnsi" w:cstheme="minorBidi"/>
            <w:b w:val="0"/>
            <w:noProof/>
            <w:sz w:val="22"/>
            <w:szCs w:val="22"/>
            <w:lang w:val="en-SE" w:eastAsia="en-SE"/>
          </w:rPr>
          <w:tab/>
        </w:r>
        <w:r w:rsidR="005039C8" w:rsidRPr="006F0AD4">
          <w:rPr>
            <w:rStyle w:val="Hyperlink"/>
            <w:noProof/>
            <w:lang w:val="en-GB"/>
          </w:rPr>
          <w:t xml:space="preserve">Send an LS to RAN2 asking them to change the description of the </w:t>
        </w:r>
        <w:r w:rsidR="005039C8" w:rsidRPr="006F0AD4">
          <w:rPr>
            <w:rStyle w:val="Hyperlink"/>
            <w:i/>
            <w:iCs/>
            <w:noProof/>
            <w:lang w:val="en-GB"/>
          </w:rPr>
          <w:t xml:space="preserve">cell </w:t>
        </w:r>
        <w:r w:rsidR="005039C8" w:rsidRPr="006F0AD4">
          <w:rPr>
            <w:rStyle w:val="Hyperlink"/>
            <w:noProof/>
            <w:lang w:val="en-GB"/>
          </w:rPr>
          <w:t xml:space="preserve">field in </w:t>
        </w:r>
        <w:r w:rsidR="005039C8" w:rsidRPr="006F0AD4">
          <w:rPr>
            <w:rStyle w:val="Hyperlink"/>
            <w:i/>
            <w:iCs/>
            <w:noProof/>
            <w:lang w:val="en-GB"/>
          </w:rPr>
          <w:t>QCL-info</w:t>
        </w:r>
        <w:r w:rsidR="005039C8" w:rsidRPr="006F0AD4">
          <w:rPr>
            <w:rStyle w:val="Hyperlink"/>
            <w:noProof/>
            <w:lang w:val="en-GB"/>
          </w:rPr>
          <w:t xml:space="preserve">, and the </w:t>
        </w:r>
        <w:r w:rsidR="005039C8" w:rsidRPr="006F0AD4">
          <w:rPr>
            <w:rStyle w:val="Hyperlink"/>
            <w:i/>
            <w:iCs/>
            <w:noProof/>
            <w:lang w:val="en-GB"/>
          </w:rPr>
          <w:t>servingCellId</w:t>
        </w:r>
        <w:r w:rsidR="005039C8" w:rsidRPr="006F0AD4">
          <w:rPr>
            <w:rStyle w:val="Hyperlink"/>
            <w:noProof/>
            <w:lang w:val="en-GB"/>
          </w:rPr>
          <w:t xml:space="preserve"> field in </w:t>
        </w:r>
        <w:r w:rsidR="005039C8" w:rsidRPr="006F0AD4">
          <w:rPr>
            <w:rStyle w:val="Hyperlink"/>
            <w:i/>
            <w:iCs/>
            <w:noProof/>
            <w:lang w:val="en-GB"/>
          </w:rPr>
          <w:t>TCI-UL-State</w:t>
        </w:r>
      </w:hyperlink>
    </w:p>
    <w:p w14:paraId="58ACA235" w14:textId="72DA6054" w:rsidR="00C01F33" w:rsidRPr="00447829" w:rsidRDefault="006E1C82" w:rsidP="000E0F2D">
      <w:pPr>
        <w:pStyle w:val="BodyText"/>
      </w:pPr>
      <w:r>
        <w:fldChar w:fldCharType="end"/>
      </w:r>
      <w:bookmarkStart w:id="7" w:name="_In-sequence_SDU_delivery"/>
      <w:bookmarkEnd w:id="7"/>
    </w:p>
    <w:p w14:paraId="71D79D99" w14:textId="77777777" w:rsidR="00F507D1" w:rsidRPr="00CE0424" w:rsidRDefault="00F507D1" w:rsidP="00CE0424">
      <w:pPr>
        <w:pStyle w:val="Heading1"/>
      </w:pPr>
      <w:r w:rsidRPr="00CE0424">
        <w:t>References</w:t>
      </w:r>
    </w:p>
    <w:p w14:paraId="4225A4E0" w14:textId="30DA7116" w:rsidR="00B13F1E" w:rsidRDefault="00192596" w:rsidP="000E0F2D">
      <w:pPr>
        <w:pStyle w:val="Reference"/>
      </w:pPr>
      <w:bookmarkStart w:id="8" w:name="_Ref31185007"/>
      <w:bookmarkStart w:id="9" w:name="_Ref174151459"/>
      <w:bookmarkStart w:id="10" w:name="_Ref189809556"/>
      <w:bookmarkStart w:id="11" w:name="_Ref111121096"/>
      <w:r>
        <w:t>R1-220</w:t>
      </w:r>
      <w:r w:rsidR="00886A06">
        <w:t>7115</w:t>
      </w:r>
      <w:r w:rsidR="00B54DD6" w:rsidRPr="00B25BEA">
        <w:t xml:space="preserve">, </w:t>
      </w:r>
      <w:r>
        <w:t>C</w:t>
      </w:r>
      <w:r w:rsidR="009B2F94">
        <w:t>larificatio</w:t>
      </w:r>
      <w:r w:rsidR="003D40AC">
        <w:t>n</w:t>
      </w:r>
      <w:r>
        <w:t xml:space="preserve"> of </w:t>
      </w:r>
      <w:r w:rsidR="003D40AC">
        <w:t xml:space="preserve">the </w:t>
      </w:r>
      <w:r>
        <w:t>reference CC functionality</w:t>
      </w:r>
      <w:bookmarkEnd w:id="8"/>
      <w:bookmarkEnd w:id="9"/>
      <w:bookmarkEnd w:id="10"/>
      <w:r>
        <w:t xml:space="preserve">, </w:t>
      </w:r>
      <w:r w:rsidRPr="00192596">
        <w:t>Ericsson, RAN1#110, August 2022</w:t>
      </w:r>
      <w:bookmarkEnd w:id="11"/>
    </w:p>
    <w:p w14:paraId="524C4ED4" w14:textId="77777777" w:rsidR="00192596" w:rsidRPr="00CE0424" w:rsidRDefault="00192596" w:rsidP="00192596">
      <w:pPr>
        <w:pStyle w:val="Reference"/>
      </w:pPr>
      <w:bookmarkStart w:id="12" w:name="_Ref110348185"/>
      <w:bookmarkStart w:id="13" w:name="_Ref101978125"/>
      <w:r w:rsidRPr="00DF2F67">
        <w:t>3GPP TS 38.331 V17.1.0</w:t>
      </w:r>
      <w:r>
        <w:t>, NR; Radio Resource Control (RRC) protocol specification, RAN#96, June 2022</w:t>
      </w:r>
      <w:bookmarkEnd w:id="12"/>
      <w:r>
        <w:t xml:space="preserve"> </w:t>
      </w:r>
    </w:p>
    <w:bookmarkEnd w:id="13"/>
    <w:p w14:paraId="7C7B632B" w14:textId="74CDA142" w:rsidR="003A7EF3" w:rsidRPr="00025A6B" w:rsidRDefault="003A7EF3" w:rsidP="00192596">
      <w:pPr>
        <w:pStyle w:val="Reference"/>
        <w:numPr>
          <w:ilvl w:val="0"/>
          <w:numId w:val="0"/>
        </w:numPr>
        <w:ind w:left="567"/>
        <w:rPr>
          <w:highlight w:val="yellow"/>
        </w:rPr>
      </w:pPr>
    </w:p>
    <w:sectPr w:rsidR="003A7EF3" w:rsidRPr="00025A6B"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B927D" w14:textId="77777777" w:rsidR="00CA6391" w:rsidRDefault="00CA6391">
      <w:r>
        <w:separator/>
      </w:r>
    </w:p>
  </w:endnote>
  <w:endnote w:type="continuationSeparator" w:id="0">
    <w:p w14:paraId="1F3D4D08" w14:textId="77777777" w:rsidR="00CA6391" w:rsidRDefault="00CA6391">
      <w:r>
        <w:continuationSeparator/>
      </w:r>
    </w:p>
  </w:endnote>
  <w:endnote w:type="continuationNotice" w:id="1">
    <w:p w14:paraId="3E1AE3AF" w14:textId="77777777" w:rsidR="00CA6391" w:rsidRDefault="00CA6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C1658" w14:textId="77777777" w:rsidR="00CA6391" w:rsidRDefault="00CA6391">
      <w:r>
        <w:separator/>
      </w:r>
    </w:p>
  </w:footnote>
  <w:footnote w:type="continuationSeparator" w:id="0">
    <w:p w14:paraId="71C36F82" w14:textId="77777777" w:rsidR="00CA6391" w:rsidRDefault="00CA6391">
      <w:r>
        <w:continuationSeparator/>
      </w:r>
    </w:p>
  </w:footnote>
  <w:footnote w:type="continuationNotice" w:id="1">
    <w:p w14:paraId="3069938F" w14:textId="77777777" w:rsidR="00CA6391" w:rsidRDefault="00CA6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38E4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30AF3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69799E"/>
    <w:multiLevelType w:val="hybridMultilevel"/>
    <w:tmpl w:val="CCD006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E6A1002"/>
    <w:multiLevelType w:val="hybridMultilevel"/>
    <w:tmpl w:val="C38C5216"/>
    <w:lvl w:ilvl="0" w:tplc="CB425B0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B57175"/>
    <w:multiLevelType w:val="hybridMultilevel"/>
    <w:tmpl w:val="BB9006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C53DC2"/>
    <w:multiLevelType w:val="hybridMultilevel"/>
    <w:tmpl w:val="6E04F024"/>
    <w:lvl w:ilvl="0" w:tplc="04090001">
      <w:start w:val="1"/>
      <w:numFmt w:val="bullet"/>
      <w:lvlText w:val=""/>
      <w:lvlJc w:val="left"/>
      <w:pPr>
        <w:ind w:left="720" w:hanging="360"/>
      </w:pPr>
      <w:rPr>
        <w:rFonts w:ascii="Symbol" w:hAnsi="Symbol" w:hint="default"/>
        <w:i w:val="0"/>
        <w:color w:val="auto"/>
        <w:sz w:val="20"/>
      </w:rPr>
    </w:lvl>
    <w:lvl w:ilvl="1" w:tplc="E054A6EC">
      <w:numFmt w:val="bullet"/>
      <w:lvlText w:val="-"/>
      <w:lvlJc w:val="left"/>
      <w:pPr>
        <w:ind w:left="1800" w:hanging="72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
  </w:num>
  <w:num w:numId="4">
    <w:abstractNumId w:val="20"/>
  </w:num>
  <w:num w:numId="5">
    <w:abstractNumId w:val="21"/>
  </w:num>
  <w:num w:numId="6">
    <w:abstractNumId w:val="23"/>
  </w:num>
  <w:num w:numId="7">
    <w:abstractNumId w:val="8"/>
  </w:num>
  <w:num w:numId="8">
    <w:abstractNumId w:val="9"/>
  </w:num>
  <w:num w:numId="9">
    <w:abstractNumId w:val="5"/>
  </w:num>
  <w:num w:numId="10">
    <w:abstractNumId w:val="31"/>
  </w:num>
  <w:num w:numId="11">
    <w:abstractNumId w:val="13"/>
  </w:num>
  <w:num w:numId="12">
    <w:abstractNumId w:val="29"/>
  </w:num>
  <w:num w:numId="13">
    <w:abstractNumId w:val="16"/>
  </w:num>
  <w:num w:numId="14">
    <w:abstractNumId w:val="7"/>
  </w:num>
  <w:num w:numId="15">
    <w:abstractNumId w:val="25"/>
  </w:num>
  <w:num w:numId="16">
    <w:abstractNumId w:val="4"/>
  </w:num>
  <w:num w:numId="17">
    <w:abstractNumId w:val="6"/>
  </w:num>
  <w:num w:numId="18">
    <w:abstractNumId w:val="26"/>
  </w:num>
  <w:num w:numId="19">
    <w:abstractNumId w:val="28"/>
  </w:num>
  <w:num w:numId="20">
    <w:abstractNumId w:val="15"/>
  </w:num>
  <w:num w:numId="21">
    <w:abstractNumId w:val="27"/>
  </w:num>
  <w:num w:numId="22">
    <w:abstractNumId w:val="18"/>
  </w:num>
  <w:num w:numId="23">
    <w:abstractNumId w:val="32"/>
  </w:num>
  <w:num w:numId="24">
    <w:abstractNumId w:val="10"/>
  </w:num>
  <w:num w:numId="25">
    <w:abstractNumId w:val="11"/>
  </w:num>
  <w:num w:numId="26">
    <w:abstractNumId w:val="12"/>
  </w:num>
  <w:num w:numId="27">
    <w:abstractNumId w:val="19"/>
  </w:num>
  <w:num w:numId="28">
    <w:abstractNumId w:val="22"/>
  </w:num>
  <w:num w:numId="29">
    <w:abstractNumId w:val="24"/>
  </w:num>
  <w:num w:numId="30">
    <w:abstractNumId w:val="30"/>
  </w:num>
  <w:num w:numId="31">
    <w:abstractNumId w:val="1"/>
  </w:num>
  <w:num w:numId="32">
    <w:abstractNumId w:val="0"/>
  </w:num>
  <w:num w:numId="3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3C2"/>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7B07"/>
    <w:rsid w:val="0004052A"/>
    <w:rsid w:val="000412B3"/>
    <w:rsid w:val="00041826"/>
    <w:rsid w:val="00041865"/>
    <w:rsid w:val="00041B48"/>
    <w:rsid w:val="000422E2"/>
    <w:rsid w:val="00042349"/>
    <w:rsid w:val="00042F22"/>
    <w:rsid w:val="000444EF"/>
    <w:rsid w:val="00045A70"/>
    <w:rsid w:val="00045C4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4D8B"/>
    <w:rsid w:val="0006510E"/>
    <w:rsid w:val="00065E1A"/>
    <w:rsid w:val="00066C49"/>
    <w:rsid w:val="00066EA7"/>
    <w:rsid w:val="00073365"/>
    <w:rsid w:val="000750A6"/>
    <w:rsid w:val="00076559"/>
    <w:rsid w:val="000768EF"/>
    <w:rsid w:val="00077E5F"/>
    <w:rsid w:val="0008036A"/>
    <w:rsid w:val="000808D1"/>
    <w:rsid w:val="00080CBB"/>
    <w:rsid w:val="00080E22"/>
    <w:rsid w:val="00081AE6"/>
    <w:rsid w:val="00082415"/>
    <w:rsid w:val="00083085"/>
    <w:rsid w:val="00084878"/>
    <w:rsid w:val="00084B35"/>
    <w:rsid w:val="00084BE1"/>
    <w:rsid w:val="000855EB"/>
    <w:rsid w:val="00085B52"/>
    <w:rsid w:val="000866F2"/>
    <w:rsid w:val="00086842"/>
    <w:rsid w:val="000879C5"/>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645E"/>
    <w:rsid w:val="000A722C"/>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F06D6"/>
    <w:rsid w:val="000F0D78"/>
    <w:rsid w:val="000F0EB1"/>
    <w:rsid w:val="000F1106"/>
    <w:rsid w:val="000F1371"/>
    <w:rsid w:val="000F143B"/>
    <w:rsid w:val="000F182A"/>
    <w:rsid w:val="000F31CA"/>
    <w:rsid w:val="000F329D"/>
    <w:rsid w:val="000F3BE9"/>
    <w:rsid w:val="000F3F6C"/>
    <w:rsid w:val="000F4328"/>
    <w:rsid w:val="000F4758"/>
    <w:rsid w:val="000F6AA3"/>
    <w:rsid w:val="000F6DF3"/>
    <w:rsid w:val="000F79ED"/>
    <w:rsid w:val="000F7D2E"/>
    <w:rsid w:val="001005FF"/>
    <w:rsid w:val="0010080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4FF9"/>
    <w:rsid w:val="00115122"/>
    <w:rsid w:val="001153EA"/>
    <w:rsid w:val="001154BB"/>
    <w:rsid w:val="00115643"/>
    <w:rsid w:val="00116765"/>
    <w:rsid w:val="00116820"/>
    <w:rsid w:val="00120A85"/>
    <w:rsid w:val="00120EB7"/>
    <w:rsid w:val="0012100A"/>
    <w:rsid w:val="001219F5"/>
    <w:rsid w:val="00121A20"/>
    <w:rsid w:val="00121F34"/>
    <w:rsid w:val="001222D4"/>
    <w:rsid w:val="0012377F"/>
    <w:rsid w:val="00124314"/>
    <w:rsid w:val="00124CF8"/>
    <w:rsid w:val="001259AE"/>
    <w:rsid w:val="00126B4A"/>
    <w:rsid w:val="001275E8"/>
    <w:rsid w:val="0013012D"/>
    <w:rsid w:val="00132590"/>
    <w:rsid w:val="00132FD0"/>
    <w:rsid w:val="00133DC0"/>
    <w:rsid w:val="0013440D"/>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6D3"/>
    <w:rsid w:val="00171766"/>
    <w:rsid w:val="00171D51"/>
    <w:rsid w:val="00172465"/>
    <w:rsid w:val="00173A8E"/>
    <w:rsid w:val="00173C66"/>
    <w:rsid w:val="0017502C"/>
    <w:rsid w:val="00175F47"/>
    <w:rsid w:val="0017641C"/>
    <w:rsid w:val="00176ABE"/>
    <w:rsid w:val="00176C07"/>
    <w:rsid w:val="00176EA8"/>
    <w:rsid w:val="00177096"/>
    <w:rsid w:val="00180B13"/>
    <w:rsid w:val="00180CA7"/>
    <w:rsid w:val="00181308"/>
    <w:rsid w:val="0018143F"/>
    <w:rsid w:val="00181FF8"/>
    <w:rsid w:val="00182C44"/>
    <w:rsid w:val="00186A77"/>
    <w:rsid w:val="0019074B"/>
    <w:rsid w:val="0019084D"/>
    <w:rsid w:val="00190AC1"/>
    <w:rsid w:val="00191523"/>
    <w:rsid w:val="001915C1"/>
    <w:rsid w:val="00192596"/>
    <w:rsid w:val="00192BA2"/>
    <w:rsid w:val="001932CF"/>
    <w:rsid w:val="0019341A"/>
    <w:rsid w:val="00193FE2"/>
    <w:rsid w:val="001947CB"/>
    <w:rsid w:val="00194915"/>
    <w:rsid w:val="00197DF9"/>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EE6"/>
    <w:rsid w:val="001B0A41"/>
    <w:rsid w:val="001B0D97"/>
    <w:rsid w:val="001B2135"/>
    <w:rsid w:val="001B223A"/>
    <w:rsid w:val="001B3009"/>
    <w:rsid w:val="001B35B1"/>
    <w:rsid w:val="001B3F31"/>
    <w:rsid w:val="001B4E1B"/>
    <w:rsid w:val="001B516E"/>
    <w:rsid w:val="001B5832"/>
    <w:rsid w:val="001B5A5D"/>
    <w:rsid w:val="001B6324"/>
    <w:rsid w:val="001B78E0"/>
    <w:rsid w:val="001C06AD"/>
    <w:rsid w:val="001C118A"/>
    <w:rsid w:val="001C14D5"/>
    <w:rsid w:val="001C1CE5"/>
    <w:rsid w:val="001C1D0E"/>
    <w:rsid w:val="001C2178"/>
    <w:rsid w:val="001C3D2A"/>
    <w:rsid w:val="001C418D"/>
    <w:rsid w:val="001C46AB"/>
    <w:rsid w:val="001C5095"/>
    <w:rsid w:val="001C6928"/>
    <w:rsid w:val="001C7F9E"/>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916"/>
    <w:rsid w:val="001F54C5"/>
    <w:rsid w:val="001F590D"/>
    <w:rsid w:val="001F662C"/>
    <w:rsid w:val="001F7074"/>
    <w:rsid w:val="001F7191"/>
    <w:rsid w:val="001F78AA"/>
    <w:rsid w:val="00200490"/>
    <w:rsid w:val="00200D04"/>
    <w:rsid w:val="00201F3A"/>
    <w:rsid w:val="00203A6F"/>
    <w:rsid w:val="00203F96"/>
    <w:rsid w:val="002043BC"/>
    <w:rsid w:val="0020526A"/>
    <w:rsid w:val="002069B2"/>
    <w:rsid w:val="00206ED3"/>
    <w:rsid w:val="00207A6B"/>
    <w:rsid w:val="00207D83"/>
    <w:rsid w:val="00207FA3"/>
    <w:rsid w:val="0021140B"/>
    <w:rsid w:val="0021165B"/>
    <w:rsid w:val="00212A99"/>
    <w:rsid w:val="00212C79"/>
    <w:rsid w:val="00213210"/>
    <w:rsid w:val="0021348A"/>
    <w:rsid w:val="00214DA8"/>
    <w:rsid w:val="00215423"/>
    <w:rsid w:val="002158FA"/>
    <w:rsid w:val="00215B5C"/>
    <w:rsid w:val="00220042"/>
    <w:rsid w:val="00220600"/>
    <w:rsid w:val="00220A5C"/>
    <w:rsid w:val="00221BEC"/>
    <w:rsid w:val="00221D1D"/>
    <w:rsid w:val="00222250"/>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41559"/>
    <w:rsid w:val="002435B3"/>
    <w:rsid w:val="002458EB"/>
    <w:rsid w:val="00245D00"/>
    <w:rsid w:val="0024618E"/>
    <w:rsid w:val="002465F5"/>
    <w:rsid w:val="002471A2"/>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B4C"/>
    <w:rsid w:val="00271EFD"/>
    <w:rsid w:val="00271F3A"/>
    <w:rsid w:val="00273278"/>
    <w:rsid w:val="002734F2"/>
    <w:rsid w:val="002737F4"/>
    <w:rsid w:val="0027567D"/>
    <w:rsid w:val="002805F5"/>
    <w:rsid w:val="00280751"/>
    <w:rsid w:val="0028280A"/>
    <w:rsid w:val="00282875"/>
    <w:rsid w:val="00282C22"/>
    <w:rsid w:val="00284FA5"/>
    <w:rsid w:val="002856DC"/>
    <w:rsid w:val="00285D4E"/>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031"/>
    <w:rsid w:val="002C1990"/>
    <w:rsid w:val="002C1A59"/>
    <w:rsid w:val="002C303E"/>
    <w:rsid w:val="002C41E6"/>
    <w:rsid w:val="002C449D"/>
    <w:rsid w:val="002C4CE7"/>
    <w:rsid w:val="002C61E8"/>
    <w:rsid w:val="002C64CF"/>
    <w:rsid w:val="002C664E"/>
    <w:rsid w:val="002C6B32"/>
    <w:rsid w:val="002C7D2A"/>
    <w:rsid w:val="002D012D"/>
    <w:rsid w:val="002D071A"/>
    <w:rsid w:val="002D0DC5"/>
    <w:rsid w:val="002D1108"/>
    <w:rsid w:val="002D2209"/>
    <w:rsid w:val="002D2FE1"/>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4996"/>
    <w:rsid w:val="002E5476"/>
    <w:rsid w:val="002E5668"/>
    <w:rsid w:val="002E6AF8"/>
    <w:rsid w:val="002E7125"/>
    <w:rsid w:val="002E7ADA"/>
    <w:rsid w:val="002E7CAE"/>
    <w:rsid w:val="002F06DA"/>
    <w:rsid w:val="002F09A3"/>
    <w:rsid w:val="002F10BF"/>
    <w:rsid w:val="002F13E4"/>
    <w:rsid w:val="002F1844"/>
    <w:rsid w:val="002F2038"/>
    <w:rsid w:val="002F2771"/>
    <w:rsid w:val="002F37A9"/>
    <w:rsid w:val="002F4238"/>
    <w:rsid w:val="002F468C"/>
    <w:rsid w:val="002F4E4C"/>
    <w:rsid w:val="00301CE6"/>
    <w:rsid w:val="00301DA1"/>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BD"/>
    <w:rsid w:val="003232DA"/>
    <w:rsid w:val="003248C1"/>
    <w:rsid w:val="00324D23"/>
    <w:rsid w:val="00324E3C"/>
    <w:rsid w:val="00324E84"/>
    <w:rsid w:val="003250D6"/>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965"/>
    <w:rsid w:val="00346DB5"/>
    <w:rsid w:val="003477B1"/>
    <w:rsid w:val="0035047A"/>
    <w:rsid w:val="003506BE"/>
    <w:rsid w:val="0035283F"/>
    <w:rsid w:val="0035347A"/>
    <w:rsid w:val="00354971"/>
    <w:rsid w:val="00355217"/>
    <w:rsid w:val="0035666F"/>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4230"/>
    <w:rsid w:val="003854B0"/>
    <w:rsid w:val="00385BF0"/>
    <w:rsid w:val="00385DB9"/>
    <w:rsid w:val="003867B3"/>
    <w:rsid w:val="00387DE8"/>
    <w:rsid w:val="00392A7D"/>
    <w:rsid w:val="003935A0"/>
    <w:rsid w:val="003939FF"/>
    <w:rsid w:val="00396E47"/>
    <w:rsid w:val="00397AE1"/>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40AC"/>
    <w:rsid w:val="003D5B1F"/>
    <w:rsid w:val="003D6BC1"/>
    <w:rsid w:val="003E028A"/>
    <w:rsid w:val="003E10F0"/>
    <w:rsid w:val="003E11D1"/>
    <w:rsid w:val="003E15FA"/>
    <w:rsid w:val="003E165B"/>
    <w:rsid w:val="003E3BFF"/>
    <w:rsid w:val="003E55E4"/>
    <w:rsid w:val="003E62C2"/>
    <w:rsid w:val="003E74B0"/>
    <w:rsid w:val="003E74E3"/>
    <w:rsid w:val="003F05C7"/>
    <w:rsid w:val="003F19BA"/>
    <w:rsid w:val="003F2CD4"/>
    <w:rsid w:val="003F3FCF"/>
    <w:rsid w:val="003F5409"/>
    <w:rsid w:val="003F6BBE"/>
    <w:rsid w:val="004000E8"/>
    <w:rsid w:val="004017E6"/>
    <w:rsid w:val="00401C4B"/>
    <w:rsid w:val="00402E2B"/>
    <w:rsid w:val="0040512B"/>
    <w:rsid w:val="0040540D"/>
    <w:rsid w:val="00405CA5"/>
    <w:rsid w:val="00406793"/>
    <w:rsid w:val="00407CD3"/>
    <w:rsid w:val="00410134"/>
    <w:rsid w:val="00410B72"/>
    <w:rsid w:val="00410CE3"/>
    <w:rsid w:val="00410F18"/>
    <w:rsid w:val="004112E5"/>
    <w:rsid w:val="0041263E"/>
    <w:rsid w:val="00413AAC"/>
    <w:rsid w:val="00413E92"/>
    <w:rsid w:val="00414A7B"/>
    <w:rsid w:val="00414B1E"/>
    <w:rsid w:val="004152EC"/>
    <w:rsid w:val="00415EA2"/>
    <w:rsid w:val="00416744"/>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769"/>
    <w:rsid w:val="00492BC5"/>
    <w:rsid w:val="0049305D"/>
    <w:rsid w:val="00493D02"/>
    <w:rsid w:val="00495074"/>
    <w:rsid w:val="00495482"/>
    <w:rsid w:val="004964F1"/>
    <w:rsid w:val="004A16BC"/>
    <w:rsid w:val="004A2502"/>
    <w:rsid w:val="004A2B94"/>
    <w:rsid w:val="004A2E53"/>
    <w:rsid w:val="004A4B33"/>
    <w:rsid w:val="004A63FC"/>
    <w:rsid w:val="004A7B2F"/>
    <w:rsid w:val="004A7B6A"/>
    <w:rsid w:val="004B0BBD"/>
    <w:rsid w:val="004B233E"/>
    <w:rsid w:val="004B25A1"/>
    <w:rsid w:val="004B2D68"/>
    <w:rsid w:val="004B312B"/>
    <w:rsid w:val="004B3D22"/>
    <w:rsid w:val="004B40A3"/>
    <w:rsid w:val="004B4970"/>
    <w:rsid w:val="004B4B28"/>
    <w:rsid w:val="004B673B"/>
    <w:rsid w:val="004B6F6A"/>
    <w:rsid w:val="004B7C0C"/>
    <w:rsid w:val="004C06A4"/>
    <w:rsid w:val="004C18BF"/>
    <w:rsid w:val="004C209F"/>
    <w:rsid w:val="004C2654"/>
    <w:rsid w:val="004C3898"/>
    <w:rsid w:val="004C4172"/>
    <w:rsid w:val="004C52B1"/>
    <w:rsid w:val="004C5907"/>
    <w:rsid w:val="004C6358"/>
    <w:rsid w:val="004C7E4B"/>
    <w:rsid w:val="004D0E48"/>
    <w:rsid w:val="004D1E3A"/>
    <w:rsid w:val="004D30E6"/>
    <w:rsid w:val="004D36B1"/>
    <w:rsid w:val="004D38DA"/>
    <w:rsid w:val="004D4E57"/>
    <w:rsid w:val="004D543C"/>
    <w:rsid w:val="004D5FE0"/>
    <w:rsid w:val="004D6C92"/>
    <w:rsid w:val="004D7752"/>
    <w:rsid w:val="004D79DE"/>
    <w:rsid w:val="004D7EBD"/>
    <w:rsid w:val="004E04A6"/>
    <w:rsid w:val="004E2680"/>
    <w:rsid w:val="004E28F9"/>
    <w:rsid w:val="004E3493"/>
    <w:rsid w:val="004E462E"/>
    <w:rsid w:val="004E483C"/>
    <w:rsid w:val="004E56DC"/>
    <w:rsid w:val="004E5E82"/>
    <w:rsid w:val="004E76F4"/>
    <w:rsid w:val="004F0039"/>
    <w:rsid w:val="004F0B4E"/>
    <w:rsid w:val="004F0B6C"/>
    <w:rsid w:val="004F0BAB"/>
    <w:rsid w:val="004F0E11"/>
    <w:rsid w:val="004F111A"/>
    <w:rsid w:val="004F113B"/>
    <w:rsid w:val="004F2078"/>
    <w:rsid w:val="004F388A"/>
    <w:rsid w:val="004F4083"/>
    <w:rsid w:val="004F4DA3"/>
    <w:rsid w:val="005013B4"/>
    <w:rsid w:val="00501758"/>
    <w:rsid w:val="005022F4"/>
    <w:rsid w:val="005039C8"/>
    <w:rsid w:val="005040F1"/>
    <w:rsid w:val="0050413C"/>
    <w:rsid w:val="0050496A"/>
    <w:rsid w:val="00506145"/>
    <w:rsid w:val="00506557"/>
    <w:rsid w:val="0050677A"/>
    <w:rsid w:val="00507940"/>
    <w:rsid w:val="00507B80"/>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61A"/>
    <w:rsid w:val="005161A0"/>
    <w:rsid w:val="00516842"/>
    <w:rsid w:val="005215DF"/>
    <w:rsid w:val="005219CF"/>
    <w:rsid w:val="00523F91"/>
    <w:rsid w:val="0052500B"/>
    <w:rsid w:val="00525C0D"/>
    <w:rsid w:val="00526A7C"/>
    <w:rsid w:val="005307A8"/>
    <w:rsid w:val="00534B59"/>
    <w:rsid w:val="00536759"/>
    <w:rsid w:val="00536953"/>
    <w:rsid w:val="0053730E"/>
    <w:rsid w:val="00537C62"/>
    <w:rsid w:val="0054348D"/>
    <w:rsid w:val="00543BBB"/>
    <w:rsid w:val="00543D1F"/>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EEC"/>
    <w:rsid w:val="00572413"/>
    <w:rsid w:val="00572505"/>
    <w:rsid w:val="005735BD"/>
    <w:rsid w:val="005747EF"/>
    <w:rsid w:val="005804EE"/>
    <w:rsid w:val="0058181E"/>
    <w:rsid w:val="00582809"/>
    <w:rsid w:val="00584301"/>
    <w:rsid w:val="00586E2A"/>
    <w:rsid w:val="0058798C"/>
    <w:rsid w:val="005900FA"/>
    <w:rsid w:val="00590900"/>
    <w:rsid w:val="00592998"/>
    <w:rsid w:val="005935A4"/>
    <w:rsid w:val="005943AE"/>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3893"/>
    <w:rsid w:val="005C4170"/>
    <w:rsid w:val="005C594A"/>
    <w:rsid w:val="005C6D2B"/>
    <w:rsid w:val="005C74FB"/>
    <w:rsid w:val="005D0CC0"/>
    <w:rsid w:val="005D11FE"/>
    <w:rsid w:val="005D1602"/>
    <w:rsid w:val="005D2F20"/>
    <w:rsid w:val="005D6085"/>
    <w:rsid w:val="005D655A"/>
    <w:rsid w:val="005D6C5B"/>
    <w:rsid w:val="005D6FB9"/>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4345"/>
    <w:rsid w:val="005F618C"/>
    <w:rsid w:val="005F70BD"/>
    <w:rsid w:val="005F78AC"/>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6F91"/>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5505"/>
    <w:rsid w:val="00686430"/>
    <w:rsid w:val="006931BD"/>
    <w:rsid w:val="006939A5"/>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1816"/>
    <w:rsid w:val="006B1D0C"/>
    <w:rsid w:val="006B2099"/>
    <w:rsid w:val="006B34B8"/>
    <w:rsid w:val="006B4134"/>
    <w:rsid w:val="006B50CF"/>
    <w:rsid w:val="006B59A2"/>
    <w:rsid w:val="006B5F2D"/>
    <w:rsid w:val="006B6721"/>
    <w:rsid w:val="006C03B8"/>
    <w:rsid w:val="006C1B56"/>
    <w:rsid w:val="006C1E95"/>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E062B"/>
    <w:rsid w:val="006E062C"/>
    <w:rsid w:val="006E0A92"/>
    <w:rsid w:val="006E0AA6"/>
    <w:rsid w:val="006E19AC"/>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258C"/>
    <w:rsid w:val="0070346E"/>
    <w:rsid w:val="00703D0A"/>
    <w:rsid w:val="00704EDB"/>
    <w:rsid w:val="00705826"/>
    <w:rsid w:val="00706101"/>
    <w:rsid w:val="00707072"/>
    <w:rsid w:val="007073E3"/>
    <w:rsid w:val="00707D61"/>
    <w:rsid w:val="00710FFE"/>
    <w:rsid w:val="00712287"/>
    <w:rsid w:val="00712772"/>
    <w:rsid w:val="00712E34"/>
    <w:rsid w:val="0071377A"/>
    <w:rsid w:val="007148D3"/>
    <w:rsid w:val="0071495B"/>
    <w:rsid w:val="007155AA"/>
    <w:rsid w:val="00715B9A"/>
    <w:rsid w:val="00715D8D"/>
    <w:rsid w:val="00716176"/>
    <w:rsid w:val="0071771A"/>
    <w:rsid w:val="0071790E"/>
    <w:rsid w:val="007202A5"/>
    <w:rsid w:val="00721963"/>
    <w:rsid w:val="00721B32"/>
    <w:rsid w:val="0072284D"/>
    <w:rsid w:val="007232A6"/>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7D8B"/>
    <w:rsid w:val="00750DC8"/>
    <w:rsid w:val="00751228"/>
    <w:rsid w:val="007519D4"/>
    <w:rsid w:val="00751A72"/>
    <w:rsid w:val="0075565D"/>
    <w:rsid w:val="00755749"/>
    <w:rsid w:val="0075641D"/>
    <w:rsid w:val="007571E1"/>
    <w:rsid w:val="007604B2"/>
    <w:rsid w:val="0076064B"/>
    <w:rsid w:val="007618FE"/>
    <w:rsid w:val="00761DAE"/>
    <w:rsid w:val="0076298B"/>
    <w:rsid w:val="00762CAF"/>
    <w:rsid w:val="0076423F"/>
    <w:rsid w:val="007649F4"/>
    <w:rsid w:val="0076503D"/>
    <w:rsid w:val="00765281"/>
    <w:rsid w:val="007655A6"/>
    <w:rsid w:val="00766BAD"/>
    <w:rsid w:val="007729A2"/>
    <w:rsid w:val="007739A6"/>
    <w:rsid w:val="0077477C"/>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4A5E"/>
    <w:rsid w:val="007C5A2A"/>
    <w:rsid w:val="007C5F4C"/>
    <w:rsid w:val="007C60BF"/>
    <w:rsid w:val="007C6A07"/>
    <w:rsid w:val="007C7013"/>
    <w:rsid w:val="007C712C"/>
    <w:rsid w:val="007C75A1"/>
    <w:rsid w:val="007C77A5"/>
    <w:rsid w:val="007D0271"/>
    <w:rsid w:val="007D04E5"/>
    <w:rsid w:val="007D28E8"/>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581"/>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5B2F"/>
    <w:rsid w:val="00815ECC"/>
    <w:rsid w:val="00817196"/>
    <w:rsid w:val="00817300"/>
    <w:rsid w:val="008177E8"/>
    <w:rsid w:val="00817CF8"/>
    <w:rsid w:val="00820602"/>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CFC"/>
    <w:rsid w:val="00857EF5"/>
    <w:rsid w:val="0086192C"/>
    <w:rsid w:val="0086351C"/>
    <w:rsid w:val="00863A4A"/>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4AD6"/>
    <w:rsid w:val="0087525E"/>
    <w:rsid w:val="00875CD7"/>
    <w:rsid w:val="00875E23"/>
    <w:rsid w:val="00876B4D"/>
    <w:rsid w:val="00877750"/>
    <w:rsid w:val="008778DE"/>
    <w:rsid w:val="00877F18"/>
    <w:rsid w:val="008800D7"/>
    <w:rsid w:val="00881238"/>
    <w:rsid w:val="00881A64"/>
    <w:rsid w:val="00882402"/>
    <w:rsid w:val="0088510F"/>
    <w:rsid w:val="0088538B"/>
    <w:rsid w:val="00885E3F"/>
    <w:rsid w:val="00886749"/>
    <w:rsid w:val="00886A06"/>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885"/>
    <w:rsid w:val="008A59EC"/>
    <w:rsid w:val="008A61AC"/>
    <w:rsid w:val="008A6408"/>
    <w:rsid w:val="008A77D8"/>
    <w:rsid w:val="008B0483"/>
    <w:rsid w:val="008B0513"/>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379"/>
    <w:rsid w:val="008D1D44"/>
    <w:rsid w:val="008D1E01"/>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416C"/>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1AF"/>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C07"/>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3755"/>
    <w:rsid w:val="00945C05"/>
    <w:rsid w:val="00946174"/>
    <w:rsid w:val="00946945"/>
    <w:rsid w:val="009475B9"/>
    <w:rsid w:val="00947713"/>
    <w:rsid w:val="009505EE"/>
    <w:rsid w:val="00950DE7"/>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477"/>
    <w:rsid w:val="00980856"/>
    <w:rsid w:val="00981382"/>
    <w:rsid w:val="00981D48"/>
    <w:rsid w:val="009823BD"/>
    <w:rsid w:val="0098315E"/>
    <w:rsid w:val="00984474"/>
    <w:rsid w:val="00985039"/>
    <w:rsid w:val="00985253"/>
    <w:rsid w:val="009853B3"/>
    <w:rsid w:val="009854C3"/>
    <w:rsid w:val="00986144"/>
    <w:rsid w:val="00987244"/>
    <w:rsid w:val="00990630"/>
    <w:rsid w:val="00991761"/>
    <w:rsid w:val="009927DF"/>
    <w:rsid w:val="00994DCA"/>
    <w:rsid w:val="0099565A"/>
    <w:rsid w:val="009956CC"/>
    <w:rsid w:val="00995C36"/>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2F94"/>
    <w:rsid w:val="009B3852"/>
    <w:rsid w:val="009B3AC2"/>
    <w:rsid w:val="009B4DF4"/>
    <w:rsid w:val="009B564E"/>
    <w:rsid w:val="009B69A4"/>
    <w:rsid w:val="009B789F"/>
    <w:rsid w:val="009B7E87"/>
    <w:rsid w:val="009C0169"/>
    <w:rsid w:val="009C02AD"/>
    <w:rsid w:val="009C0304"/>
    <w:rsid w:val="009C0558"/>
    <w:rsid w:val="009C0F24"/>
    <w:rsid w:val="009C277F"/>
    <w:rsid w:val="009C2F0A"/>
    <w:rsid w:val="009C403E"/>
    <w:rsid w:val="009C489A"/>
    <w:rsid w:val="009C5045"/>
    <w:rsid w:val="009C611A"/>
    <w:rsid w:val="009C6E52"/>
    <w:rsid w:val="009D14C6"/>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4BC2"/>
    <w:rsid w:val="009E5824"/>
    <w:rsid w:val="009E7184"/>
    <w:rsid w:val="009E7D5A"/>
    <w:rsid w:val="009F08F3"/>
    <w:rsid w:val="009F344F"/>
    <w:rsid w:val="009F7C1D"/>
    <w:rsid w:val="009F7D7C"/>
    <w:rsid w:val="009F7E87"/>
    <w:rsid w:val="00A00BA2"/>
    <w:rsid w:val="00A01C73"/>
    <w:rsid w:val="00A0212D"/>
    <w:rsid w:val="00A02E86"/>
    <w:rsid w:val="00A03116"/>
    <w:rsid w:val="00A031D8"/>
    <w:rsid w:val="00A048A8"/>
    <w:rsid w:val="00A04F49"/>
    <w:rsid w:val="00A0746C"/>
    <w:rsid w:val="00A12D5A"/>
    <w:rsid w:val="00A13E54"/>
    <w:rsid w:val="00A145C3"/>
    <w:rsid w:val="00A15F0C"/>
    <w:rsid w:val="00A1664D"/>
    <w:rsid w:val="00A16E71"/>
    <w:rsid w:val="00A16F8C"/>
    <w:rsid w:val="00A17411"/>
    <w:rsid w:val="00A1765A"/>
    <w:rsid w:val="00A17C6E"/>
    <w:rsid w:val="00A17F63"/>
    <w:rsid w:val="00A211B1"/>
    <w:rsid w:val="00A2193B"/>
    <w:rsid w:val="00A21CC0"/>
    <w:rsid w:val="00A225E2"/>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6297"/>
    <w:rsid w:val="00A36BCD"/>
    <w:rsid w:val="00A37811"/>
    <w:rsid w:val="00A37AEA"/>
    <w:rsid w:val="00A41E2B"/>
    <w:rsid w:val="00A42830"/>
    <w:rsid w:val="00A42C3D"/>
    <w:rsid w:val="00A4363E"/>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882"/>
    <w:rsid w:val="00A87DB4"/>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465B"/>
    <w:rsid w:val="00AB4AB8"/>
    <w:rsid w:val="00AB52CB"/>
    <w:rsid w:val="00AB5947"/>
    <w:rsid w:val="00AB655E"/>
    <w:rsid w:val="00AC007F"/>
    <w:rsid w:val="00AC0C1B"/>
    <w:rsid w:val="00AC2936"/>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1CA3"/>
    <w:rsid w:val="00AF21AF"/>
    <w:rsid w:val="00AF26FF"/>
    <w:rsid w:val="00AF36E3"/>
    <w:rsid w:val="00AF42D7"/>
    <w:rsid w:val="00AF4A64"/>
    <w:rsid w:val="00AF5742"/>
    <w:rsid w:val="00AF5A3B"/>
    <w:rsid w:val="00AF6EA0"/>
    <w:rsid w:val="00B003BF"/>
    <w:rsid w:val="00B006FE"/>
    <w:rsid w:val="00B007CB"/>
    <w:rsid w:val="00B01310"/>
    <w:rsid w:val="00B01337"/>
    <w:rsid w:val="00B014CE"/>
    <w:rsid w:val="00B0197F"/>
    <w:rsid w:val="00B02AA9"/>
    <w:rsid w:val="00B02FA3"/>
    <w:rsid w:val="00B03F2A"/>
    <w:rsid w:val="00B0487D"/>
    <w:rsid w:val="00B04D10"/>
    <w:rsid w:val="00B05084"/>
    <w:rsid w:val="00B054A1"/>
    <w:rsid w:val="00B05745"/>
    <w:rsid w:val="00B13F1E"/>
    <w:rsid w:val="00B13F88"/>
    <w:rsid w:val="00B14877"/>
    <w:rsid w:val="00B157F9"/>
    <w:rsid w:val="00B15836"/>
    <w:rsid w:val="00B20256"/>
    <w:rsid w:val="00B20D09"/>
    <w:rsid w:val="00B22AD1"/>
    <w:rsid w:val="00B260E7"/>
    <w:rsid w:val="00B26805"/>
    <w:rsid w:val="00B2698B"/>
    <w:rsid w:val="00B27608"/>
    <w:rsid w:val="00B2763F"/>
    <w:rsid w:val="00B27AAC"/>
    <w:rsid w:val="00B30929"/>
    <w:rsid w:val="00B3257A"/>
    <w:rsid w:val="00B33142"/>
    <w:rsid w:val="00B33CB4"/>
    <w:rsid w:val="00B3420A"/>
    <w:rsid w:val="00B35A57"/>
    <w:rsid w:val="00B36A14"/>
    <w:rsid w:val="00B372AA"/>
    <w:rsid w:val="00B40445"/>
    <w:rsid w:val="00B40511"/>
    <w:rsid w:val="00B409E0"/>
    <w:rsid w:val="00B41888"/>
    <w:rsid w:val="00B42C2C"/>
    <w:rsid w:val="00B42F9A"/>
    <w:rsid w:val="00B454E1"/>
    <w:rsid w:val="00B45A52"/>
    <w:rsid w:val="00B46175"/>
    <w:rsid w:val="00B46F7E"/>
    <w:rsid w:val="00B50AA1"/>
    <w:rsid w:val="00B51EDB"/>
    <w:rsid w:val="00B53DFD"/>
    <w:rsid w:val="00B548B7"/>
    <w:rsid w:val="00B549FC"/>
    <w:rsid w:val="00B54DD6"/>
    <w:rsid w:val="00B571E7"/>
    <w:rsid w:val="00B57AC5"/>
    <w:rsid w:val="00B60154"/>
    <w:rsid w:val="00B60BCF"/>
    <w:rsid w:val="00B6161E"/>
    <w:rsid w:val="00B61AB2"/>
    <w:rsid w:val="00B62A86"/>
    <w:rsid w:val="00B644C4"/>
    <w:rsid w:val="00B65B1C"/>
    <w:rsid w:val="00B65FF5"/>
    <w:rsid w:val="00B66338"/>
    <w:rsid w:val="00B664C7"/>
    <w:rsid w:val="00B67497"/>
    <w:rsid w:val="00B701A6"/>
    <w:rsid w:val="00B7057B"/>
    <w:rsid w:val="00B713D8"/>
    <w:rsid w:val="00B717E3"/>
    <w:rsid w:val="00B71F21"/>
    <w:rsid w:val="00B72BD7"/>
    <w:rsid w:val="00B739F6"/>
    <w:rsid w:val="00B74A13"/>
    <w:rsid w:val="00B755E0"/>
    <w:rsid w:val="00B76019"/>
    <w:rsid w:val="00B80D1B"/>
    <w:rsid w:val="00B81A6C"/>
    <w:rsid w:val="00B83530"/>
    <w:rsid w:val="00B841B4"/>
    <w:rsid w:val="00B85DE5"/>
    <w:rsid w:val="00B87110"/>
    <w:rsid w:val="00B87F63"/>
    <w:rsid w:val="00B90F73"/>
    <w:rsid w:val="00B90FF4"/>
    <w:rsid w:val="00B9164E"/>
    <w:rsid w:val="00B91701"/>
    <w:rsid w:val="00B91B7E"/>
    <w:rsid w:val="00B923DF"/>
    <w:rsid w:val="00B93629"/>
    <w:rsid w:val="00B93804"/>
    <w:rsid w:val="00B93B59"/>
    <w:rsid w:val="00B9406A"/>
    <w:rsid w:val="00B94F35"/>
    <w:rsid w:val="00B953ED"/>
    <w:rsid w:val="00B956AD"/>
    <w:rsid w:val="00B960E8"/>
    <w:rsid w:val="00B96535"/>
    <w:rsid w:val="00B965AB"/>
    <w:rsid w:val="00B978EA"/>
    <w:rsid w:val="00B97D1D"/>
    <w:rsid w:val="00B97D8B"/>
    <w:rsid w:val="00BA0330"/>
    <w:rsid w:val="00BA09BA"/>
    <w:rsid w:val="00BA2280"/>
    <w:rsid w:val="00BA2A08"/>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A9F"/>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566"/>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4D4B"/>
    <w:rsid w:val="00C154BB"/>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338D"/>
    <w:rsid w:val="00C35639"/>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605CF"/>
    <w:rsid w:val="00C60783"/>
    <w:rsid w:val="00C60880"/>
    <w:rsid w:val="00C60EF4"/>
    <w:rsid w:val="00C61E9F"/>
    <w:rsid w:val="00C620D7"/>
    <w:rsid w:val="00C628F9"/>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F2"/>
    <w:rsid w:val="00C83ABA"/>
    <w:rsid w:val="00C85560"/>
    <w:rsid w:val="00C862CB"/>
    <w:rsid w:val="00C8676D"/>
    <w:rsid w:val="00C87035"/>
    <w:rsid w:val="00C87535"/>
    <w:rsid w:val="00C9027A"/>
    <w:rsid w:val="00C9068E"/>
    <w:rsid w:val="00C91EB5"/>
    <w:rsid w:val="00C93814"/>
    <w:rsid w:val="00C93C4B"/>
    <w:rsid w:val="00C944AB"/>
    <w:rsid w:val="00C956F8"/>
    <w:rsid w:val="00C95B40"/>
    <w:rsid w:val="00C96E92"/>
    <w:rsid w:val="00C9783A"/>
    <w:rsid w:val="00C97CC2"/>
    <w:rsid w:val="00CA1ED8"/>
    <w:rsid w:val="00CA24FC"/>
    <w:rsid w:val="00CA267F"/>
    <w:rsid w:val="00CA33F3"/>
    <w:rsid w:val="00CA3F4F"/>
    <w:rsid w:val="00CA4171"/>
    <w:rsid w:val="00CA5934"/>
    <w:rsid w:val="00CA6391"/>
    <w:rsid w:val="00CA6C2B"/>
    <w:rsid w:val="00CB091E"/>
    <w:rsid w:val="00CB1F63"/>
    <w:rsid w:val="00CB21C7"/>
    <w:rsid w:val="00CB2BC5"/>
    <w:rsid w:val="00CB45B7"/>
    <w:rsid w:val="00CB5F5C"/>
    <w:rsid w:val="00CB6CB4"/>
    <w:rsid w:val="00CB6D5D"/>
    <w:rsid w:val="00CB7170"/>
    <w:rsid w:val="00CC040E"/>
    <w:rsid w:val="00CC111F"/>
    <w:rsid w:val="00CC2011"/>
    <w:rsid w:val="00CC35C8"/>
    <w:rsid w:val="00CC3EA0"/>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5361"/>
    <w:rsid w:val="00CD5434"/>
    <w:rsid w:val="00CD5AAB"/>
    <w:rsid w:val="00CE0424"/>
    <w:rsid w:val="00CE09F7"/>
    <w:rsid w:val="00CE1C6A"/>
    <w:rsid w:val="00CE3941"/>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9DD"/>
    <w:rsid w:val="00D02EC0"/>
    <w:rsid w:val="00D02F3F"/>
    <w:rsid w:val="00D0349B"/>
    <w:rsid w:val="00D049BB"/>
    <w:rsid w:val="00D05DA6"/>
    <w:rsid w:val="00D10249"/>
    <w:rsid w:val="00D103CA"/>
    <w:rsid w:val="00D115C3"/>
    <w:rsid w:val="00D11897"/>
    <w:rsid w:val="00D126F0"/>
    <w:rsid w:val="00D13135"/>
    <w:rsid w:val="00D13E4E"/>
    <w:rsid w:val="00D16948"/>
    <w:rsid w:val="00D1784D"/>
    <w:rsid w:val="00D179B8"/>
    <w:rsid w:val="00D22D0A"/>
    <w:rsid w:val="00D239A7"/>
    <w:rsid w:val="00D23F47"/>
    <w:rsid w:val="00D24BB6"/>
    <w:rsid w:val="00D25EFD"/>
    <w:rsid w:val="00D26797"/>
    <w:rsid w:val="00D27BC5"/>
    <w:rsid w:val="00D3068C"/>
    <w:rsid w:val="00D30B07"/>
    <w:rsid w:val="00D31CCA"/>
    <w:rsid w:val="00D33991"/>
    <w:rsid w:val="00D33F86"/>
    <w:rsid w:val="00D35A4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327"/>
    <w:rsid w:val="00D5149A"/>
    <w:rsid w:val="00D52090"/>
    <w:rsid w:val="00D52094"/>
    <w:rsid w:val="00D5346B"/>
    <w:rsid w:val="00D546FF"/>
    <w:rsid w:val="00D54757"/>
    <w:rsid w:val="00D552A6"/>
    <w:rsid w:val="00D556B5"/>
    <w:rsid w:val="00D55AD5"/>
    <w:rsid w:val="00D55E66"/>
    <w:rsid w:val="00D576CA"/>
    <w:rsid w:val="00D57880"/>
    <w:rsid w:val="00D57BF3"/>
    <w:rsid w:val="00D606C3"/>
    <w:rsid w:val="00D61802"/>
    <w:rsid w:val="00D61AF5"/>
    <w:rsid w:val="00D652B5"/>
    <w:rsid w:val="00D65C97"/>
    <w:rsid w:val="00D66155"/>
    <w:rsid w:val="00D67A35"/>
    <w:rsid w:val="00D708B0"/>
    <w:rsid w:val="00D70D19"/>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1A4F"/>
    <w:rsid w:val="00D92982"/>
    <w:rsid w:val="00D93239"/>
    <w:rsid w:val="00D935AB"/>
    <w:rsid w:val="00D949E0"/>
    <w:rsid w:val="00D94B4B"/>
    <w:rsid w:val="00D9521F"/>
    <w:rsid w:val="00DA0B47"/>
    <w:rsid w:val="00DA305E"/>
    <w:rsid w:val="00DA4070"/>
    <w:rsid w:val="00DA504A"/>
    <w:rsid w:val="00DA5149"/>
    <w:rsid w:val="00DA5417"/>
    <w:rsid w:val="00DA56E8"/>
    <w:rsid w:val="00DA59E1"/>
    <w:rsid w:val="00DB0136"/>
    <w:rsid w:val="00DB0A9F"/>
    <w:rsid w:val="00DB319D"/>
    <w:rsid w:val="00DB35AA"/>
    <w:rsid w:val="00DB377D"/>
    <w:rsid w:val="00DB4718"/>
    <w:rsid w:val="00DB4C2C"/>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281"/>
    <w:rsid w:val="00DF37A0"/>
    <w:rsid w:val="00DF414B"/>
    <w:rsid w:val="00DF53FB"/>
    <w:rsid w:val="00DF6910"/>
    <w:rsid w:val="00DF730D"/>
    <w:rsid w:val="00E00D18"/>
    <w:rsid w:val="00E023DF"/>
    <w:rsid w:val="00E03E97"/>
    <w:rsid w:val="00E0402B"/>
    <w:rsid w:val="00E05D7B"/>
    <w:rsid w:val="00E0669C"/>
    <w:rsid w:val="00E072BC"/>
    <w:rsid w:val="00E078C8"/>
    <w:rsid w:val="00E110E7"/>
    <w:rsid w:val="00E1131B"/>
    <w:rsid w:val="00E11B20"/>
    <w:rsid w:val="00E12E60"/>
    <w:rsid w:val="00E13272"/>
    <w:rsid w:val="00E14966"/>
    <w:rsid w:val="00E1539D"/>
    <w:rsid w:val="00E15689"/>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5DE1"/>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7E4"/>
    <w:rsid w:val="00E9291C"/>
    <w:rsid w:val="00E93FFE"/>
    <w:rsid w:val="00E94F8A"/>
    <w:rsid w:val="00E95B9E"/>
    <w:rsid w:val="00E96C06"/>
    <w:rsid w:val="00E971A8"/>
    <w:rsid w:val="00EA1481"/>
    <w:rsid w:val="00EA14C3"/>
    <w:rsid w:val="00EA492C"/>
    <w:rsid w:val="00EA7A41"/>
    <w:rsid w:val="00EB077B"/>
    <w:rsid w:val="00EB2177"/>
    <w:rsid w:val="00EB41D5"/>
    <w:rsid w:val="00EB47F1"/>
    <w:rsid w:val="00EB4EA2"/>
    <w:rsid w:val="00EB7524"/>
    <w:rsid w:val="00EB7FF9"/>
    <w:rsid w:val="00EC24C6"/>
    <w:rsid w:val="00EC24D5"/>
    <w:rsid w:val="00EC27C6"/>
    <w:rsid w:val="00EC4207"/>
    <w:rsid w:val="00EC46BE"/>
    <w:rsid w:val="00EC4A47"/>
    <w:rsid w:val="00EC4F84"/>
    <w:rsid w:val="00EC5653"/>
    <w:rsid w:val="00EC6752"/>
    <w:rsid w:val="00EC71CE"/>
    <w:rsid w:val="00EC7834"/>
    <w:rsid w:val="00EC794C"/>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288C"/>
    <w:rsid w:val="00EF44CE"/>
    <w:rsid w:val="00EF5787"/>
    <w:rsid w:val="00EF606F"/>
    <w:rsid w:val="00EF60D0"/>
    <w:rsid w:val="00EF6123"/>
    <w:rsid w:val="00EF65E3"/>
    <w:rsid w:val="00EF6644"/>
    <w:rsid w:val="00EF750C"/>
    <w:rsid w:val="00F01E39"/>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6E0B"/>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38D9"/>
    <w:rsid w:val="00F3524A"/>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B72"/>
    <w:rsid w:val="00F74BB9"/>
    <w:rsid w:val="00F75582"/>
    <w:rsid w:val="00F75DDE"/>
    <w:rsid w:val="00F76EFA"/>
    <w:rsid w:val="00F771D3"/>
    <w:rsid w:val="00F802F7"/>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1980"/>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6B1B"/>
    <w:rsid w:val="00FA7F63"/>
    <w:rsid w:val="00FB022F"/>
    <w:rsid w:val="00FB0637"/>
    <w:rsid w:val="00FB1162"/>
    <w:rsid w:val="00FB244C"/>
    <w:rsid w:val="00FB3FF0"/>
    <w:rsid w:val="00FB4C80"/>
    <w:rsid w:val="00FB585C"/>
    <w:rsid w:val="00FB5EF7"/>
    <w:rsid w:val="00FB6A6A"/>
    <w:rsid w:val="00FB775D"/>
    <w:rsid w:val="00FC2F1C"/>
    <w:rsid w:val="00FC7429"/>
    <w:rsid w:val="00FC7CE9"/>
    <w:rsid w:val="00FD07F6"/>
    <w:rsid w:val="00FD188D"/>
    <w:rsid w:val="00FD1EC8"/>
    <w:rsid w:val="00FD2992"/>
    <w:rsid w:val="00FD357D"/>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4C7B"/>
    <w:rsid w:val="00FE7336"/>
    <w:rsid w:val="00FE787C"/>
    <w:rsid w:val="00FF04D5"/>
    <w:rsid w:val="00FF0DF9"/>
    <w:rsid w:val="00FF12D5"/>
    <w:rsid w:val="00FF3958"/>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61C0138B-D4A8-4393-8FCD-62291F61D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3</Pages>
  <Words>923</Words>
  <Characters>4828</Characters>
  <Application>Microsoft Office Word</Application>
  <DocSecurity>0</DocSecurity>
  <Lines>77</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5722</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146</cp:revision>
  <cp:lastPrinted>2021-01-08T23:59:00Z</cp:lastPrinted>
  <dcterms:created xsi:type="dcterms:W3CDTF">2022-04-20T15:23:00Z</dcterms:created>
  <dcterms:modified xsi:type="dcterms:W3CDTF">2022-08-11T16:29:00Z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